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24"/>
        </w:rPr>
      </w:pPr>
      <w:r>
        <w:rPr>
          <w:b/>
          <w:sz w:val="32"/>
        </w:rPr>
        <w:t>招聘简章</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b/>
          <w:sz w:val="24"/>
          <w:lang w:eastAsia="zh-CN"/>
        </w:rPr>
      </w:pPr>
      <w:r>
        <w:rPr>
          <w:rFonts w:hint="eastAsia"/>
          <w:b/>
          <w:sz w:val="24"/>
          <w:lang w:eastAsia="zh-CN"/>
        </w:rPr>
        <w:t>一、公司简介</w:t>
      </w:r>
    </w:p>
    <w:p>
      <w:pPr>
        <w:keepNext w:val="0"/>
        <w:keepLines w:val="0"/>
        <w:pageBreakBefore w:val="0"/>
        <w:widowControl w:val="0"/>
        <w:kinsoku/>
        <w:wordWrap/>
        <w:overflowPunct/>
        <w:topLinePunct w:val="0"/>
        <w:autoSpaceDE/>
        <w:autoSpaceDN/>
        <w:bidi w:val="0"/>
        <w:adjustRightInd/>
        <w:snapToGrid/>
        <w:spacing w:line="420" w:lineRule="auto"/>
        <w:ind w:firstLine="480" w:firstLineChars="200"/>
        <w:textAlignment w:val="auto"/>
        <w:rPr>
          <w:rFonts w:hint="eastAsia" w:ascii="宋体" w:hAnsi="宋体" w:eastAsia="宋体" w:cs="宋体"/>
          <w:sz w:val="24"/>
        </w:rPr>
      </w:pPr>
      <w:r>
        <w:rPr>
          <w:rFonts w:hint="eastAsia" w:ascii="宋体" w:hAnsi="宋体" w:eastAsia="宋体" w:cs="宋体"/>
          <w:sz w:val="24"/>
        </w:rPr>
        <w:t>康方生物（9926.HK）于2012年成立，是中国新时代原创新药研发龙头企业之一</w:t>
      </w:r>
      <w:r>
        <w:rPr>
          <w:rFonts w:hint="eastAsia" w:ascii="宋体" w:hAnsi="宋体" w:eastAsia="宋体" w:cs="宋体"/>
          <w:sz w:val="24"/>
        </w:rPr>
        <w:t>，</w:t>
      </w:r>
      <w:r>
        <w:rPr>
          <w:rFonts w:hint="eastAsia" w:ascii="宋体" w:hAnsi="宋体" w:eastAsia="宋体" w:cs="宋体"/>
          <w:sz w:val="24"/>
          <w:lang w:val="en-US" w:eastAsia="zh-CN"/>
        </w:rPr>
        <w:t>聚焦肿瘤、自身免疫、呼吸系统、中枢神经系统、炎症、代谢疾病等重大疾病领域</w:t>
      </w:r>
      <w:r>
        <w:rPr>
          <w:rFonts w:hint="eastAsia" w:ascii="宋体" w:hAnsi="宋体" w:eastAsia="宋体" w:cs="宋体"/>
          <w:sz w:val="24"/>
        </w:rPr>
        <w:t>，致力研究、开发、生产及商业化全球首创或同类最佳创新生物新药。2020年康方生物在港交所主板上市，截至2026年一季度市值约为1300亿港元</w:t>
      </w:r>
      <w:r>
        <w:rPr>
          <w:rFonts w:hint="eastAsia" w:ascii="宋体" w:hAnsi="宋体" w:eastAsia="宋体" w:cs="宋体"/>
          <w:sz w:val="24"/>
        </w:rPr>
        <w:t>。</w:t>
      </w:r>
    </w:p>
    <w:p>
      <w:pPr>
        <w:keepNext w:val="0"/>
        <w:keepLines w:val="0"/>
        <w:pageBreakBefore w:val="0"/>
        <w:widowControl w:val="0"/>
        <w:kinsoku/>
        <w:wordWrap/>
        <w:overflowPunct/>
        <w:topLinePunct w:val="0"/>
        <w:autoSpaceDE/>
        <w:autoSpaceDN/>
        <w:bidi w:val="0"/>
        <w:adjustRightInd/>
        <w:snapToGrid/>
        <w:spacing w:line="420" w:lineRule="auto"/>
        <w:ind w:firstLine="480" w:firstLineChars="200"/>
        <w:textAlignment w:val="auto"/>
        <w:rPr>
          <w:rFonts w:hint="eastAsia" w:ascii="宋体" w:hAnsi="宋体" w:eastAsia="宋体" w:cs="宋体"/>
          <w:sz w:val="24"/>
        </w:rPr>
      </w:pPr>
      <w:r>
        <w:rPr>
          <w:rFonts w:hint="eastAsia" w:ascii="宋体" w:hAnsi="宋体" w:eastAsia="宋体" w:cs="宋体"/>
          <w:sz w:val="24"/>
        </w:rPr>
        <w:t>康方生物已开发了50多个创新候选药物，成功推进上市8个自研新药，成为中国生物制药创新管线最丰富和最有深度的公司之一。康方自主研发上市了全球首个肿瘤免疫双抗卡度尼利和全球首个免疫+抗血管协同抗机制双抗依沃西，是全球唯一拥有2个肿瘤免疫双抗的公司，引领了全球双抗发展浪潮。</w:t>
      </w:r>
      <w:bookmarkStart w:id="0" w:name="_GoBack"/>
      <w:bookmarkEnd w:id="0"/>
    </w:p>
    <w:p>
      <w:pPr>
        <w:keepNext w:val="0"/>
        <w:keepLines w:val="0"/>
        <w:pageBreakBefore w:val="0"/>
        <w:widowControl w:val="0"/>
        <w:kinsoku/>
        <w:wordWrap/>
        <w:overflowPunct/>
        <w:topLinePunct w:val="0"/>
        <w:autoSpaceDE/>
        <w:autoSpaceDN/>
        <w:bidi w:val="0"/>
        <w:adjustRightInd/>
        <w:snapToGrid/>
        <w:spacing w:line="420" w:lineRule="auto"/>
        <w:ind w:firstLine="480" w:firstLineChars="200"/>
        <w:textAlignment w:val="auto"/>
        <w:rPr>
          <w:rFonts w:hint="eastAsia"/>
          <w:b/>
          <w:sz w:val="24"/>
          <w:lang w:eastAsia="zh-CN"/>
        </w:rPr>
      </w:pPr>
      <w:r>
        <w:rPr>
          <w:rFonts w:hint="eastAsia" w:ascii="宋体" w:hAnsi="宋体" w:eastAsia="宋体" w:cs="宋体"/>
          <w:sz w:val="24"/>
        </w:rPr>
        <w:t>康方生物始终坚持源头创新，以AI智研技术赋能新药开发全程，独立自主开创了双抗/多抗、ADC/双抗ADC、TCE、siRNA、细胞治疗、mRNA等前沿发展领域的核心技术，具备全面一体化的新药100%内部自主研究开发能力，打破国际技术封锁和卡脖子难题。康方生物已建成规模全国领先的国际先进水平新药GMP生产设施体系，和运作模式先进的商业化体系，成为了全球范围内具有竞争力的生物医药创新公司。</w:t>
      </w:r>
    </w:p>
    <w:p>
      <w:pPr>
        <w:keepNext w:val="0"/>
        <w:keepLines w:val="0"/>
        <w:pageBreakBefore w:val="0"/>
        <w:widowControl w:val="0"/>
        <w:numPr>
          <w:ilvl w:val="0"/>
          <w:numId w:val="0"/>
        </w:numPr>
        <w:kinsoku/>
        <w:wordWrap/>
        <w:overflowPunct/>
        <w:topLinePunct w:val="0"/>
        <w:autoSpaceDE/>
        <w:autoSpaceDN/>
        <w:bidi w:val="0"/>
        <w:adjustRightInd/>
        <w:snapToGrid/>
        <w:spacing w:line="420" w:lineRule="auto"/>
        <w:textAlignment w:val="auto"/>
        <w:rPr>
          <w:rFonts w:hint="eastAsia"/>
          <w:b/>
          <w:sz w:val="24"/>
          <w:lang w:eastAsia="zh-CN"/>
        </w:rPr>
      </w:pPr>
      <w:r>
        <w:rPr>
          <w:rFonts w:hint="eastAsia"/>
          <w:b/>
          <w:sz w:val="24"/>
          <w:lang w:eastAsia="zh-CN"/>
        </w:rPr>
        <w:t>二、岗位介绍</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5"/>
        <w:gridCol w:w="780"/>
        <w:gridCol w:w="3222"/>
        <w:gridCol w:w="1238"/>
        <w:gridCol w:w="541"/>
        <w:gridCol w:w="888"/>
        <w:gridCol w:w="555"/>
        <w:gridCol w:w="7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需求岗位</w:t>
            </w:r>
          </w:p>
        </w:tc>
        <w:tc>
          <w:tcPr>
            <w:tcW w:w="18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岗位职责</w:t>
            </w:r>
          </w:p>
        </w:tc>
        <w:tc>
          <w:tcPr>
            <w:tcW w:w="7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意向专业方向</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学历</w:t>
            </w:r>
          </w:p>
        </w:tc>
        <w:tc>
          <w:tcPr>
            <w:tcW w:w="5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薪资</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招聘人数</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工作地点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细胞生产技术员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1.细胞培养生产工作，包括但不限于：细胞建库、摇瓶种子扩增、不同反应器规模下的细胞培养及中间体检测工作、细胞收获及深层过滤、培养基及溶液配制等；</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2.按GMP要求完成各类生产原始记录和记录汇总，核实、整理，以及细胞培养相关灭活处理,细胞培养相关的偏差和风险评估的处理；</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3.负责细胞培养相关的物料领用、退料、入库，以及物料的投诉、调查，种子细胞扩增、反应器培养和收获操作，文件起草和修订；</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4.负责生产设备FAT(工厂验收)、SAT(现场验收)、IQ(安装确认)、OQ(运行确认)和PQ(性能确认)辅助执行工作，维护、维修和计量的跟进；</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生物工程/生物技术/制药工程/生物制药/药品生产技术/药学等专业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纯化生产技术员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纯化生产工作，包括但不限于：溶液配制、亲和层析、低pH病毒灭活及澄清过滤、离子层析、除病毒过滤、超滤浓缩换液稀释、原液除菌过滤、原液冷冻等操作，膜包、除菌滤器的完整性测试，超滤膜包、层析系统、除病毒过滤系统、超滤系统的清洗；</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2.按GMP要求完成各类生产原始记录和生产记录的汇总，核实、整理，纯化相关的偏差和风险评估的处理，纯化生产最终原液入库；</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3.负责纯化工序相关的物料的领用、退料或入库，以及物料的投诉和调查,工序操作文件起草和修订，设备的维护、维修和计量的跟进；</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4.负责纯化生产设备FAT(工厂验收)、SAT(现场验收)、IQ(安装确认)、OQ(运行确认)和PQ(性能确认)辅助执行工作；</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生物工程/生物技术/制药工程/生物制药/药品生产技术/药学等专业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生产辅助技术员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1.严格按照GMP及公司质量要求进行生产的各项操作，严格执行标准操作规程；</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2.负责辅助生产相关文件的起草，生产相关设备的验收、校验工作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3.负责生产车间物料的领用、退库、称量、分装、确认准备、跟踪等工作，缓冲液的配制，车间清洁剂配制、卫生清洁工作，生产设备清洁、维护保养；</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4.负责偏差的调查和报告撰写，生产过程中产生异常问题必须及时上报；</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生物工程/生物技术/制药工程/生物制药/药品生产技术/药学等专业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大专</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4</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QC微生物分析员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1.负责原辅料、产品、内包材、工艺用水等实施无菌检查、微生物限度检查、细菌内毒素检查等微生物检查；</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2.对微生物实验室的试剂、耗材、仪器等实施日常管理；</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3.对实验室菌种管理、进行培养基的促生长试验、无菌试验的阳线对照试验；</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4.负责实验室仪器设备的维护工作及实验报告的撰写；</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药学/生物/化工/分析化学/制药工程/药品质量与安全等专业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5</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QC理化分析员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1.负责产品的PH、渗透压、微粒、外观等物理检查；</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2.负责分子排阻色谱法（SEC）、离子交换色谱法（CEX）、肽图、糖基化、毛细管电泳（CE）、毛细管等点聚焦等检测；</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3.负责相关精密仪器的维护与管理，如高效液相色谱仪等；</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4.负责实验室仪器设备的维护工作及实验报告的撰写；</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药学/生物/化工/分析化学/制药工程/药品质量与安全等专业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6</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QC生化分析员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1.负责公司产品和中间产品的外源DNA残留检测、宿主细胞蛋白残留检测、ProteinA残留检测、生物学活性检测(酶联免疫法)；</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2.负责外源DNA残留检测、宿主细胞蛋白残留检测、ProteinA残留检测、生物学活性检测(酶联免疫法)的方法学验证工作；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3.负责管理并维护生化实验室和PCR实验室(含实验室内所有仪器设备的维护)；</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4.能熟知酶联免疫法的原理、步骤、方法分类，并能进行实际操作，知PCR技术的原理、步骤、方法分类，并能进行实际操作，知实时荧光PCR仪和酶标仪的工作原理；</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药学/生物/化工/分析化学/制药工程/药品质量与安全等专业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7</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QC综合组分析员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1.负责跟车间、仓库交接样品，并将检验样品进行分发和协调分配安排检验工作；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2.负责待检样品、留样样品、稳定性样品的管理；</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3.负责管理检验台账和发放检验COA；</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4.负责实验室仪器设备档案的管理，文件管理和记录的发放和回收，试验用玻璃仪器的管理和校验；</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药学/生物/化工/分析化学/制药工程/药品质量与安全等专业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8</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QC精密仪器分析员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1.负责有关高效液相色谱仪、超高效液相色谱仪、毛细管电泳仪、等电聚焦毛细管电泳仪和气相色谱仪等检验的工作，包括日常样品的检验和稳定性试验样品的检验等；</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2.能独立完成中间产品、成品、原料、辅料等有关检验项目检测，不耽误车间生产；</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负责高效液相色谱仪、超高效液相色谱仪、毛细管电泳仪、等电聚焦毛细管电泳仪、气相色谱仪和紫外-可见分光光度计等仪器的内部校验，维护保养，保证设备的正常运行并制定各项维护保养计划；做好外部校验、年度维护等相关的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4.负责相关方法的方法开发的设计及实验的开展，方法学验证的方案、报告的起草并开展相关的验证等质量研究工作;保证方法应用的合理与合法；</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5.参与并完成相关的OOSOOT、OOE的调查，配合相关组或相关部门完成药品申报、调查等工作；</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药学/生物/化工/分析化学/制药工程/药品质量与安全等专业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9</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QC计量组分析员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1.负责制定仪器的验收、验证、计量、维护计划，对新到仪器进行验收安装、安排验证、安排计量工作；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2.负责统筹并协助部门内仪器设备的验证工作，完成玻璃量器、移液器的维护校准工作；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3.管理实验室内的仪器设备档案，对检验所产生的电子数据进行审核复查；</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4.完成异常数据的调查及处理工作，以及计算机化系统的管理及验证工作；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5.负责实验室仪器的维修、维护、故障处理等工作，起草仪器管理和数据管理相关文件；</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药学/生物/化工/分析化学/制药工程/药品质量与安全等专业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10</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QC技术组分析员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1.负责产品质量标准的制定、修订、变更，包括中间产品、原液和注射液质量标准；</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2.负责参与检验方法的变更及产品复验期/使用期/有效期的延长变更，新药上市申报的（NDA/BLA）注册资料的初稿撰写；</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3.负责审核分析方法验证/确认方案和报告、稳定性试验方案和报告、检验方法等；</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4.负责提供并及时更新分析方法验证/确认方案和报告、稳定性试验方案和报告、检验方法的模板，分析方法转移工作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负责统筹标准物质管理的技术工作，包括参考品、内控品及商购标准品，具体职责包括以下工作：参考品总库的管理、参考品的制备指令发起、协调参考品的验收工作、参考品的数据回顾分析、参考品的稳定性考察试验、复验工作及标准物质相关文件的制定与修订；</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药学/生物/化工/分析化学/制药工程/药品质量与安全等专业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11</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现场QA</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1.岗位含文件QA、数据QA、现场QA、验证QA、体系QA等，审核生产批记录及相应的检验记录</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2.负责质量体系文件的管理(发放、回收、销毁、存档)工作，将原辅料、包装材料等物料初检</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3.定期对产品稳定性考察数据进行统计分析，定期整理变更、偏差、CAPA、投诉及不良反应等报告；</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4.对各类生产设备和检验设备的档案资料进行整理并归档，制定验证总计划并监督验证工作的实施，临床试验申报资料的审核；</w:t>
            </w:r>
          </w:p>
        </w:tc>
        <w:tc>
          <w:tcPr>
            <w:tcW w:w="726" w:type="pc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药品生产与技术/制药工程/药学等专业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12</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临床质量专员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1.按照临床质量管理文件要求，对临床试验工作及相关的资料、数据整理汇总过程进行质量监管；</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2.开展临床试验工作中的偏离调查、变更控制、供应商管理、纠正预防等质量活动；</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3.负责参与对临床中心医院、CRO公司和其他第三方合作机构的稽查工作；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4.负责参与审核临床试验报告等相关文件。</w:t>
            </w:r>
          </w:p>
        </w:tc>
        <w:tc>
          <w:tcPr>
            <w:tcW w:w="7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医学/药学/临床药学/护理等专业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13</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自动化助理工程师</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1.负责全厂自控系统施工管理：包括组织起草URS、施工合同起草、设计确认、工程材料确认与管理、施工现场管理及协调、工程过程验收及竣工验收等；</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2.负责制定或协助相关自控系统设备的日常和定期维护保养计划，与部门其他同事共同实施并定期归档设备相关维护保养、检修等记录；</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3.负责自控系统设备的巡检工作，监督检查自控系统设备的维护、保养及运行情况；</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4.组织开展自控相关系统的风险评估，制订风险控制措施在设计、建设及运行中实施。</w:t>
            </w:r>
          </w:p>
        </w:tc>
        <w:tc>
          <w:tcPr>
            <w:tcW w:w="7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机电一体化/电气工程及其自动化/机械设计制造及其自动化/检测技术与自动化等专业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14</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仓库管理员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1.负责根据流程按照订货信息及操作SOP对货物进行接收入库，对在库货物按SOP的规定要求存放管理,做到货物摆放整齐，按状态及温度要求分区域储存；</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2.负责严格遵照发料、发货的SOP规定，领用、发放信息进行货物发放，定期对货物进行盘点和效期检查工作，及时对到效期或复验期货物按SOP要求进行管理；</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3.确保仓库各项记录的准确性、及时性、完整性，仓库设施设备的日常检查维护管理，包括卫生环境、温湿度维持等工作，确保仓库储存条件良好，避免各种污染；</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4.做好工作周期总结和跨部门交接工作，对常用一般性耗材提出采购申请；</w:t>
            </w:r>
          </w:p>
        </w:tc>
        <w:tc>
          <w:tcPr>
            <w:tcW w:w="7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物流管理/药学/供应链管理/工业工程等专业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15</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生产项目管理员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1.根据各项目订单需求（包括临床及销售）编制生产计划，并跟踪监督生产计划的实施情况，适时作出计划调整并经上级领导批准后执行；</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2.根据车间日常生产计划，安排物料计划，及时供应生产线物料，确保均衡生产，对制定的物料需求计划进行申购、核对</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3.定期跟进物料库存情况及实际使用情况，适时提出修改下期采购计划，避免进料积压或进料短缺的现象；</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4.负责协调各生产小组与各相关部门的生产工作相关进度和衔接；</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5.负责统筹新项目技术转移的协调工作，并持续跟进至新项目技术转移完成。</w:t>
            </w:r>
          </w:p>
        </w:tc>
        <w:tc>
          <w:tcPr>
            <w:tcW w:w="7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药品生产技术/制药工程/药学等专业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16</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制剂生产技术员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1.在一定监督下于cGMP生产中执行所有制剂操作及生产工作；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2.参与车间设备清洁消毒，物料领用，设备报修等生产辅助工作；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3.必要时与原材料及设备提供商和商业合作伙伴作进一步的交流；</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4.参与设备IOPQ（安装/运行/性能验证），参加cGMP培训并遵循cGMP规则</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5.参加修订/创建/复审SOP、批记录、验证/资格认证协议类的cGMP文件和FAT/SAT文件；</w:t>
            </w:r>
          </w:p>
        </w:tc>
        <w:tc>
          <w:tcPr>
            <w:tcW w:w="7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药学/制药工程/生物制药等专业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17</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设备工程师</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1.对制药工程公用系统设备进行开关机操作，日常监控并记录，对系统设备做好年度、月度及日常维护保养</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2.对车间生产设备、工艺系统管道做好年度月度维护保养，维修；</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3.协助部门完成相关公用系统及生产设备GMP体系内的验证确认工作，及GMP相关活动记录；</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4.配合参与部门其他新设备及车间的URS/FAT/SAT/IOPQ等工作；</w:t>
            </w:r>
          </w:p>
        </w:tc>
        <w:tc>
          <w:tcPr>
            <w:tcW w:w="72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制药设备应用技术/制药工程/机电一体化等专业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18</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产品管理员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1.根据临床试验的要求，负责临床药物在线库存系统的日常跟踪与管理，确保研究中心药物库存充足；</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2.保持与各临床项目的团队的良好沟通与协调；与项目组成员一同解决用药相关的问题和挑战；</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3.负责严格按照SOP规定完成临床试验药物包装、存储、配送、回收、销毁，确保各项记录的准确性、及时性、完整性；</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4.负责定期对临床药物库存进行盘点和效期检查工作，及时对到效期药物按SOP要求进行管理；</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5.负责临床药物仓库的日常检查维护管理，确保储存条件良好，避免各种污染；</w:t>
            </w:r>
          </w:p>
        </w:tc>
        <w:tc>
          <w:tcPr>
            <w:tcW w:w="7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药学/药学英语/英语/中药学等专业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5K-9K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中山、广州黄埔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19</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稳定细胞株研究助理</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1.参与单抗、重组蛋白药物稳定细胞株开发与平台工艺优化：</w:t>
            </w:r>
            <w:r>
              <w:rPr>
                <w:rFonts w:hint="eastAsia" w:ascii="黑体" w:hAnsi="宋体" w:eastAsia="黑体" w:cs="黑体"/>
                <w:i w:val="0"/>
                <w:iCs w:val="0"/>
                <w:color w:val="000000"/>
                <w:kern w:val="0"/>
                <w:sz w:val="16"/>
                <w:szCs w:val="16"/>
                <w:u w:val="none"/>
                <w:lang w:val="en-US" w:eastAsia="zh-CN" w:bidi="ar"/>
              </w:rPr>
              <w:br w:type="textWrapping"/>
            </w:r>
            <w:r>
              <w:rPr>
                <w:rStyle w:val="14"/>
                <w:lang w:val="en-US" w:eastAsia="zh-CN" w:bidi="ar"/>
              </w:rPr>
              <w:t></w:t>
            </w:r>
            <w:r>
              <w:rPr>
                <w:rStyle w:val="15"/>
                <w:lang w:val="en-US" w:eastAsia="zh-CN" w:bidi="ar"/>
              </w:rPr>
              <w:t>载体质粒构建优化、细胞转染工艺优化；</w:t>
            </w:r>
            <w:r>
              <w:rPr>
                <w:rStyle w:val="15"/>
                <w:lang w:val="en-US" w:eastAsia="zh-CN" w:bidi="ar"/>
              </w:rPr>
              <w:br w:type="textWrapping"/>
            </w:r>
            <w:r>
              <w:rPr>
                <w:rStyle w:val="14"/>
                <w:lang w:val="en-US" w:eastAsia="zh-CN" w:bidi="ar"/>
              </w:rPr>
              <w:t></w:t>
            </w:r>
            <w:r>
              <w:rPr>
                <w:rStyle w:val="15"/>
                <w:lang w:val="en-US" w:eastAsia="zh-CN" w:bidi="ar"/>
              </w:rPr>
              <w:t>细胞培养驯化及冻存保藏；</w:t>
            </w:r>
            <w:r>
              <w:rPr>
                <w:rStyle w:val="15"/>
                <w:lang w:val="en-US" w:eastAsia="zh-CN" w:bidi="ar"/>
              </w:rPr>
              <w:br w:type="textWrapping"/>
            </w:r>
            <w:r>
              <w:rPr>
                <w:rStyle w:val="14"/>
                <w:lang w:val="en-US" w:eastAsia="zh-CN" w:bidi="ar"/>
              </w:rPr>
              <w:t></w:t>
            </w:r>
            <w:r>
              <w:rPr>
                <w:rStyle w:val="15"/>
                <w:lang w:val="en-US" w:eastAsia="zh-CN" w:bidi="ar"/>
              </w:rPr>
              <w:t>工程细胞株构建、筛选、鉴定及功能性评价；参与辅助检测，进行相关方法开发和优化，包括电泳、单克隆抗体含量检测，基因拷贝数测定，稳定性评估等；</w:t>
            </w:r>
            <w:r>
              <w:rPr>
                <w:rStyle w:val="15"/>
                <w:lang w:val="en-US" w:eastAsia="zh-CN" w:bidi="ar"/>
              </w:rPr>
              <w:br w:type="textWrapping"/>
            </w:r>
            <w:r>
              <w:rPr>
                <w:rStyle w:val="14"/>
                <w:lang w:val="en-US" w:eastAsia="zh-CN" w:bidi="ar"/>
              </w:rPr>
              <w:t></w:t>
            </w:r>
            <w:r>
              <w:rPr>
                <w:rStyle w:val="15"/>
                <w:lang w:val="en-US" w:eastAsia="zh-CN" w:bidi="ar"/>
              </w:rPr>
              <w:t>项目生产用细胞库构建；</w:t>
            </w:r>
            <w:r>
              <w:rPr>
                <w:rStyle w:val="15"/>
                <w:lang w:val="en-US" w:eastAsia="zh-CN" w:bidi="ar"/>
              </w:rPr>
              <w:br w:type="textWrapping"/>
            </w:r>
            <w:r>
              <w:rPr>
                <w:rStyle w:val="14"/>
                <w:lang w:val="en-US" w:eastAsia="zh-CN" w:bidi="ar"/>
              </w:rPr>
              <w:t></w:t>
            </w:r>
            <w:r>
              <w:rPr>
                <w:rStyle w:val="15"/>
                <w:lang w:val="en-US" w:eastAsia="zh-CN" w:bidi="ar"/>
              </w:rPr>
              <w:t>汇总实验数据，分析、撰写实验记录和报告等文件资料；</w:t>
            </w:r>
            <w:r>
              <w:rPr>
                <w:rStyle w:val="15"/>
                <w:lang w:val="en-US" w:eastAsia="zh-CN" w:bidi="ar"/>
              </w:rPr>
              <w:br w:type="textWrapping"/>
            </w:r>
            <w:r>
              <w:rPr>
                <w:rStyle w:val="14"/>
                <w:lang w:val="en-US" w:eastAsia="zh-CN" w:bidi="ar"/>
              </w:rPr>
              <w:t></w:t>
            </w:r>
            <w:r>
              <w:rPr>
                <w:rStyle w:val="15"/>
                <w:lang w:val="en-US" w:eastAsia="zh-CN" w:bidi="ar"/>
              </w:rPr>
              <w:t>参与项目在不同部门之间的交接和沟通交流；</w:t>
            </w:r>
            <w:r>
              <w:rPr>
                <w:rStyle w:val="15"/>
                <w:lang w:val="en-US" w:eastAsia="zh-CN" w:bidi="ar"/>
              </w:rPr>
              <w:br w:type="textWrapping"/>
            </w:r>
            <w:r>
              <w:rPr>
                <w:rStyle w:val="15"/>
                <w:lang w:val="en-US" w:eastAsia="zh-CN" w:bidi="ar"/>
              </w:rPr>
              <w:t>2.参与实验室的日常运营维护和仪器管理：</w:t>
            </w:r>
            <w:r>
              <w:rPr>
                <w:rStyle w:val="15"/>
                <w:lang w:val="en-US" w:eastAsia="zh-CN" w:bidi="ar"/>
              </w:rPr>
              <w:br w:type="textWrapping"/>
            </w:r>
            <w:r>
              <w:rPr>
                <w:rStyle w:val="14"/>
                <w:lang w:val="en-US" w:eastAsia="zh-CN" w:bidi="ar"/>
              </w:rPr>
              <w:t></w:t>
            </w:r>
            <w:r>
              <w:rPr>
                <w:rStyle w:val="15"/>
                <w:lang w:val="en-US" w:eastAsia="zh-CN" w:bidi="ar"/>
              </w:rPr>
              <w:t>实验室仪器设备的日常维护及使用操作记录；</w:t>
            </w:r>
            <w:r>
              <w:rPr>
                <w:rStyle w:val="15"/>
                <w:lang w:val="en-US" w:eastAsia="zh-CN" w:bidi="ar"/>
              </w:rPr>
              <w:br w:type="textWrapping"/>
            </w:r>
            <w:r>
              <w:rPr>
                <w:rStyle w:val="14"/>
                <w:lang w:val="en-US" w:eastAsia="zh-CN" w:bidi="ar"/>
              </w:rPr>
              <w:t></w:t>
            </w:r>
            <w:r>
              <w:rPr>
                <w:rStyle w:val="15"/>
                <w:lang w:val="en-US" w:eastAsia="zh-CN" w:bidi="ar"/>
              </w:rPr>
              <w:t>遵守实验室各项合规制度的，维护良好的实验室卫生及安全环境。</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生物工程/生物技术/生物科学/细胞生物学/发育生物学/生物医学工程/微生物学/分析化学/蛋白质化学/生物化学与分子生物学/生物技术微生物学/合成生物学/生物化学/微生物营养/营养学/药剂学等专业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硕士</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5K-10K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20</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细胞工艺助理</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参与或负责细胞培养工艺的开发、优化及放大，根据项目计划实现目标水平的表达产量和质量，制定稳定、可放大的细胞化工艺。</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1.熟悉细胞生物学、发酵工程等细胞生长代谢相关的理论知识，了解DOE实验设计的基本逻辑，同时学习和动手能力强，能快速熟练使用JMP等实验设计和分析软件，以及操作各种细胞培养相关的实验设备。</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熟练使用Word、Excel和PowerPoint等办公软件，能够独立完成实验方案设计、开展实验操作和实验数据分析总结，并及时完成实验成果汇报展示（如合理解读各项细胞生长代谢的性能参数、质量属性之间的相互关系，根据实验数据制定出最佳的操作工艺参数）。同时，按照要求及时完成实验记录的填写和复核工作，保证数据真实性、准确性及完整性。</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3.对实验和中试生产中出现的异常数据具有独立调查、处理的能力。</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4.能够按照国内外的申报资料要求整理及撰写申报资料。</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5.能够按照文件要求完成设备的维护与保养。</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生物工程/生物技术/生物科学/细胞生物学/发育生物学/生物医学工程/微生物学/分析化学/蛋白质化学/生物化学与分子生物学/生物技术微生物学/合成生物学/生物化学/微生物营养/营养学/药剂学等专业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硕士</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5K-10K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21</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分析表征研究助理</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1.产品表征检测：</w:t>
            </w:r>
            <w:r>
              <w:rPr>
                <w:rFonts w:hint="eastAsia" w:ascii="黑体" w:hAnsi="宋体" w:eastAsia="黑体" w:cs="黑体"/>
                <w:i w:val="0"/>
                <w:iCs w:val="0"/>
                <w:color w:val="000000"/>
                <w:kern w:val="0"/>
                <w:sz w:val="16"/>
                <w:szCs w:val="16"/>
                <w:u w:val="none"/>
                <w:lang w:val="en-US" w:eastAsia="zh-CN" w:bidi="ar"/>
              </w:rPr>
              <w:br w:type="textWrapping"/>
            </w:r>
            <w:r>
              <w:rPr>
                <w:rStyle w:val="14"/>
                <w:lang w:val="en-US" w:eastAsia="zh-CN" w:bidi="ar"/>
              </w:rPr>
              <w:t></w:t>
            </w:r>
            <w:r>
              <w:rPr>
                <w:rStyle w:val="15"/>
                <w:lang w:val="en-US" w:eastAsia="zh-CN" w:bidi="ar"/>
              </w:rPr>
              <w:t>运用质谱技术开展蛋白药物一级结构表征，包括完整分子量测定、肽图分析、氨基酸序列确认、二硫键配对与错配分析等</w:t>
            </w:r>
            <w:r>
              <w:rPr>
                <w:rStyle w:val="15"/>
                <w:lang w:val="en-US" w:eastAsia="zh-CN" w:bidi="ar"/>
              </w:rPr>
              <w:br w:type="textWrapping"/>
            </w:r>
            <w:r>
              <w:rPr>
                <w:rStyle w:val="14"/>
                <w:lang w:val="en-US" w:eastAsia="zh-CN" w:bidi="ar"/>
              </w:rPr>
              <w:t></w:t>
            </w:r>
            <w:r>
              <w:rPr>
                <w:rStyle w:val="15"/>
                <w:lang w:val="en-US" w:eastAsia="zh-CN" w:bidi="ar"/>
              </w:rPr>
              <w:t>负责翻译后修饰（PTM）的鉴定与定量分析，如糖基化、氧化、脱酰胺等</w:t>
            </w:r>
            <w:r>
              <w:rPr>
                <w:rStyle w:val="15"/>
                <w:lang w:val="en-US" w:eastAsia="zh-CN" w:bidi="ar"/>
              </w:rPr>
              <w:br w:type="textWrapping"/>
            </w:r>
            <w:r>
              <w:rPr>
                <w:rStyle w:val="14"/>
                <w:lang w:val="en-US" w:eastAsia="zh-CN" w:bidi="ar"/>
              </w:rPr>
              <w:t></w:t>
            </w:r>
            <w:r>
              <w:rPr>
                <w:rStyle w:val="15"/>
                <w:lang w:val="en-US" w:eastAsia="zh-CN" w:bidi="ar"/>
              </w:rPr>
              <w:t>针对ADC药物开展偶联药物结构表征，包括游离巯基检测、偶联位点及偶联率分析等</w:t>
            </w:r>
            <w:r>
              <w:rPr>
                <w:rStyle w:val="15"/>
                <w:lang w:val="en-US" w:eastAsia="zh-CN" w:bidi="ar"/>
              </w:rPr>
              <w:br w:type="textWrapping"/>
            </w:r>
            <w:r>
              <w:rPr>
                <w:rStyle w:val="15"/>
                <w:lang w:val="en-US" w:eastAsia="zh-CN" w:bidi="ar"/>
              </w:rPr>
              <w:t>2.表征分析方法开发以及优化，分析方法开发、优化与验证，包括但不限于LC-MS、HPLC、CE、iCIEF等技术平台</w:t>
            </w:r>
            <w:r>
              <w:rPr>
                <w:rStyle w:val="15"/>
                <w:lang w:val="en-US" w:eastAsia="zh-CN" w:bidi="ar"/>
              </w:rPr>
              <w:br w:type="textWrapping"/>
            </w:r>
            <w:r>
              <w:rPr>
                <w:rStyle w:val="15"/>
                <w:lang w:val="en-US" w:eastAsia="zh-CN" w:bidi="ar"/>
              </w:rPr>
              <w:t>3.设计产品表征研究，包括异构体鉴别研究和关键生产批次产品表征研究等，评估产品关键质量属性；</w:t>
            </w:r>
            <w:r>
              <w:rPr>
                <w:rStyle w:val="15"/>
                <w:lang w:val="en-US" w:eastAsia="zh-CN" w:bidi="ar"/>
              </w:rPr>
              <w:br w:type="textWrapping"/>
            </w:r>
            <w:r>
              <w:rPr>
                <w:rStyle w:val="15"/>
                <w:lang w:val="en-US" w:eastAsia="zh-CN" w:bidi="ar"/>
              </w:rPr>
              <w:t>4.记录整理、数据统计，协助撰写表征分析报告，对比不同工艺样品质量差异；</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生物工程/生物技术/生物科学/细胞生物学/发育生物学/生物医学工程/微生物学/分析化学/蛋白质化学/生物化学与分子生物学/生物技术微生物学/合成生物学/生物化学/微生物营养/营养学/药剂学等专业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硕士</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5K-10K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22</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表达体系开发研究助理</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1.载体构建、密码子优化、不同信号肽/启动子表达效果对比；</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2.瞬转表达体系筛选：质粒配比、转染试剂、转染条件优化；</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3.不同宿主细胞（CHO、HEK293等）表达能力对比试验；</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4.瞬转小试批量制备蛋白，评估表达量、蛋白质量；</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5.协助构建高通量筛选平台，整理载体库、细胞库台账；</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6.汇总不同表达体系数据，输出对比报告，支撑稳定株构建前期筛选</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生物工程/生物技术/生物科学/细胞生物学/发育生物学/生物医学工程/微生物学/分析化学/蛋白质化学/生物化学与分子生物学/生物技术微生物学/合成生物学/生物化学/微生物营养/营养学/药剂学等专业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硕士</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5K-10K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23</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培养基开发研究助理</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1.基础培养基、补料培养基组分筛选、梯度配比小试；</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2.无血清、无蛋白培养基驯化试验，降低培养基成本、提升细胞滴度；</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3.氨基酸、维生素、微量元素、抗凋亡添加物单因素/正交试验；</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4.培养基配制、过滤除菌、摇瓶培养评估细胞生长与表达；</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5.检测培养基消耗代谢物，分析营养限制瓶颈；</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6.整理培养基优化数据，协助开发自研培养基配方，完成稳定性考察。</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生物工程/生物技术/生物科学/细胞生物学/发育生物学/生物医学工程/微生物学/分析化学/蛋白质化学/生物化学与分子生物学/生物技术微生物学/合成生物学/生物化学/微生物营养/营养学/药剂学等专业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硕士</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5K-10K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24</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纯化工艺助理</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参与或负责蛋白、核酸等相关项目纯化工艺的开发、优化及放大，根据项目计划实现目标产物与杂质的分离与纯化，制定稳定、可放大的纯化工艺。</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1.熟悉各种层析、过滤等纯化方法的基本原理，了解DOE实验设计的基本逻辑，同时学习和动手能力强，能快速熟练使用JMP等实验设计和分析软件，以及操作AKTA或其它层析实验设备。</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熟练使用Word、Excel和PowerPoint等办公软件，能够独立完成实验方案设计、开展实验操作和实验数据分析总结，并及时完成实验成果汇报展示（如合理解读各项操作工艺参数与质量属性之间的相互关系，根据实验数据制定出最佳的操作工艺参数）。同时，按照要求及时完成实验记录的填写和复核工作，保证数据真实性、准确性及完整性。</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3.对实验和中试生产中出现的异常数据具有独立调查、处理的能力。</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生物工程/生物技术/生物科学/细胞生物学/发育生物学/生物医学工程/微生物学/分析化学/蛋白质化学/生物化学与分子生物学/生物技术微生物学/合成生物学/生物化学/微生物营养/营养学/药剂学等专业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硕士</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5K-10K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25</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生化分析研究助理</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参与或负责蛋白、核酸等相关项目的生化相关分析方法开发和优化，根据项目计划制定稳定、可靠的分析方法。</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1.熟悉酶联免疫吸附法、qPCR法、流式细胞术、各自细胞生物学活性（如细胞增殖活性、细胞凋亡活性、细胞杀伤活性、细胞趋化、细胞迁移、抗体内吞活性等）、细胞克隆筛选等生化分析方法的基本原理，了解实验设计的基本逻辑，同时学习和动手能力强，能快速熟练使用实验所需的设计和分析软件，以及操作酶标仪、qPCR仪和流式细胞仪或其它分析实验仪器。</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熟练使用Word、Excel和PowerPoint等办公软件，能够独立完成实验方案设计、开展实验操作和实验数据分析总结，并及时完成实验成果汇报展示（如合理解读各项分析操作参数与实验结果之间的相互关系，根据实验数据制定出最佳的分析方法参数和操作空间）。同时，按照要求及时完成实验记录的填写和复核工作，保证数据真实性、准确性及完整性。</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3.对实验中出现的异常数据具有独立判断、调查和处理的能力。</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生物工程/生物技术/生物科学/细胞生物学/发育生物学/生物医学工程/微生物学/分析化学/蛋白质化学/生物化学与分子生物学/生物技术微生物学/合成生物学/生物化学/微生物营养/营养学/药剂学等专业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硕士</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5K-10K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26</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理化分析研究助理</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参与或负责蛋白、核酸等相关项目的生化相关分析方法开发和优化，根据项目计划制定稳定、可靠的分析方法。</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1.熟悉HPLC、UPLC、毛细管电泳、质谱等理化分析方法的基本原理，了解实验设计的基本逻辑，同时学习和动手能力强，能快速熟练使用实验所需的设计和分析软件，以及操作HPLC、UPLC、毛细管电泳、质谱或其它分析实验仪器。</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熟练使用Word、Excel和PowerPoint等办公软件，能够独立完成实验方案设计、开展实验操作和实验数据分析总结，并及时完成实验成果汇报展示（如合理解读各项分析操作参数与实验结果之间的相互关系，根据实验数据制定出最佳的分析方法参数）。同时，按照要求及时完成实验记录的填写和复核工作，保证数据真实性、准确性及完整性。</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3.对实验中出现的异常数据具有独立调查、处理的能力。</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生物工程/生物技术/生物科学/细胞生物学/发育生物学/生物医学工程/微生物学/分析化学/蛋白质化学/生物化学与分子生物学/生物技术微生物学/合成生物学/生物化学/微生物营养/营养学/药剂学等专业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硕士</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5K-10K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27</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制剂研究研究助理</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1.抗体/蛋白药物处方筛选：缓冲盐体系、稳定剂、赋形剂、表面活性剂梯度筛选；</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2.高低温、冻融、震荡、光照强制降解试验，评估蛋白聚集、降解风险；</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3.制剂相容性考察：与包材、灌装管路吸附试验；</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4.原液配制成制剂半成品，无菌过滤、灌装小样制备；</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5.设计处方对比试验，联动理化、表征分析数据，汇总处方优劣；</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6.协助撰写处方开发报告、制剂稳定性研究资料。</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生物工程/生物技术/生物科学/细胞生物学/发育生物学/生物医学工程/微生物学/分析化学/蛋白质化学/生物化学与分子生物学/生物技术微生物学/合成生物学/生物化学/微生物营养/营养学/药剂学等专业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硕士</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5K-10K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28</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制剂工艺助理</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1.制剂中试工艺操作：原液稀释、缓冲液置换、除菌过滤、无菌灌装、轧盖；</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2.配液罐、灌装线、隔离器、冻融设备小试/中试操作，CIP/SIP辅助；</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3.工艺参数摸索：搅拌速度、过滤压力、灌装速度、灌装量控制；</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4.工艺过程取样中控，记录批生产数据，跟踪工艺收率与产品澄明度；</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5.包材预处理、洁净区无菌操作，器具清洗灭菌；</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6.协助工艺转移至生产车间，排查灌装起泡、微粒、含量不均等工艺问题</w:t>
            </w:r>
          </w:p>
        </w:tc>
        <w:tc>
          <w:tcPr>
            <w:tcW w:w="72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生物工程/生物技术/生物科学/细胞生物学/发育生物学/生物医学工程/微生物学/分析化学/蛋白质化学/生物化学与分子生物学/生物技术微生物学/合成生物学/生物化学/微生物营养/营养学/药剂学等专业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硕士</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5K-10K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29</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药物发现高级科学家</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（一）科学策略制定与项目全流程推进</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主导创新药早期发现项目整体研发工作，覆盖靶点验证（Target Validation）、苗头化合物筛选（Hit-to-Lead）、先导化合物优化（Lead Optimization）全流程。独立制定项目整体科学研发策略，精准把控研发方向与技术路线；负责大分子、ADC、多抗、PROTAC、分子胶等新型药物分子的设计、筛选与工程化改造，自主设计并落地体外、体内药效学实验方案，统筹理化性质、成药性、DMPK、安全性等关键评价工作。精准把控项目关键里程碑与时间节点，快速排查、攻克各类技术瓶颈，保障项目高效、合规推进至PCC提名阶段。</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（二）跨部门协同与项目管理</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作为项目负责人，联动抗体工程、结构生物学、体外药理、PK/PD、CMC、毒理等相关部门开展协同研发。负责外部CRO/CDMO、学术合作机构的对接与管理，规范合作流程，监督实验质量、数据交付进度，严格把控项目研发预算。完成PCC分子的技术梳理与沉淀，推动项目平稳转入IND申报准备阶段，为后续临床前开发、CMC工艺开发提供全面技术支撑与数据对接。</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（三）知识产权布局与合规文档撰写</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项目全周期知识产权管理，梳理核心技术、候选分子创新点，配合法务团队完成专利申报与保护，构建项目核心技术壁垒。牵头编制内部研发报告、标准化实验SOP，规整全套研发数据与技术资料；独立负责IND申报资料中早期药物发现相关章节的撰写、校对与汇总，保障申报资料科学、合规、完整。</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（四）团队建设与前沿技术创新</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负责实验技术人员的日常管理、技术培训与科研指导，搭建高效研发团队，持续提升团队整体科研能力与专业素养。持续追踪全球创新药靶点、研发技术前沿趋势，深耕AI辅助药物设计、新型药物递送、新型分子改造等前沿技术，完成新靶点、新项目的调研、评估与立项论证，持续丰富、优化公司研发管线。定期完成项目复盘、进展汇报，对接公司管理层、学术委员会及投资人，清晰输出项目成果与研发规划。</w:t>
            </w:r>
          </w:p>
        </w:tc>
        <w:tc>
          <w:tcPr>
            <w:tcW w:w="726"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生物化学、分子生物学、免疫学、药物化学、药理学、生物医学工程等相关专业博士（Ph.D.）学历</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博士</w:t>
            </w:r>
            <w:r>
              <w:rPr>
                <w:rFonts w:hint="eastAsia" w:ascii="黑体" w:hAnsi="宋体" w:eastAsia="黑体" w:cs="黑体"/>
                <w:i w:val="0"/>
                <w:iCs w:val="0"/>
                <w:color w:val="000000"/>
                <w:kern w:val="0"/>
                <w:sz w:val="20"/>
                <w:szCs w:val="20"/>
                <w:u w:val="none"/>
                <w:lang w:val="en-US" w:eastAsia="zh-CN" w:bidi="ar"/>
              </w:rPr>
              <w:br w:type="textWrapping"/>
            </w:r>
            <w:r>
              <w:rPr>
                <w:rFonts w:hint="eastAsia" w:ascii="黑体" w:hAnsi="宋体" w:eastAsia="黑体" w:cs="黑体"/>
                <w:i w:val="0"/>
                <w:iCs w:val="0"/>
                <w:color w:val="000000"/>
                <w:kern w:val="0"/>
                <w:sz w:val="20"/>
                <w:szCs w:val="20"/>
                <w:u w:val="none"/>
                <w:lang w:val="en-US" w:eastAsia="zh-CN" w:bidi="ar"/>
              </w:rPr>
              <w:t>博士后</w:t>
            </w:r>
          </w:p>
        </w:tc>
        <w:tc>
          <w:tcPr>
            <w:tcW w:w="521" w:type="pc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20-30K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30</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高级/医学专员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1.牵头医学资料撰写：研究者手册、临床试验方案、知情同意书、申报医学综述；</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2.临床试验医学监查，审核严重不良事件SAE，评估药物相关性、撰写医学评价；</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3.对接临床研究者、专家，组织医学研讨会，解读临床数据；</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4.处理复杂医学疑问，制定医学风险管控策略；</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5.培训医学专员、CRA，审核医学推广、学术资料合规性；</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6.参与药监沟通、临床核查应答，统筹项目医学相关工作</w:t>
            </w:r>
          </w:p>
        </w:tc>
        <w:tc>
          <w:tcPr>
            <w:tcW w:w="7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临床医学/肿瘤学/内科学等专业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硕士</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7K-15K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31</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CRA管培生</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1.跟随资深CRA学习临床中心监查流程：源数据核查SDV、知情核查、试验药品管理；</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2.协助整理监查文件、监查报告、跟踪Query关闭、物资发放回收；</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3.协助核查试验器械、药物储存温湿度、记录完整性；</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4.学习GCP法规、试验方案、SOP，参与中心启动、关中心辅助工作；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5.记录监查问题，跟进研究者整改，无独立监查权限，全程带教陪同。</w:t>
            </w:r>
          </w:p>
        </w:tc>
        <w:tc>
          <w:tcPr>
            <w:tcW w:w="7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临床医学/护理学/药学等专业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5K-10K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32</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临床事务专员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1.负责集团国内所有临床项目递交文件的文印盖章、分发、TMF文件的上传、审核、回收、归档、</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eTMF系统管理等工作。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2.负责集团所有国内临床项目的研究中心相关合同复核、签署、文印、归档管理工作。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3.负责集团所有临床项目的物资供应、盘点、回收调度、维修校准、系统管理等工作。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4.负责集团所有临床项目的费用审核、单据递交、跟进付款、票据回收递交等管理工作。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5.负责集团临床运行部、临床开发部、数据科学部、药物警戒部人员的报销复核、单据递交工作。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6.负责集团所有临床项目的项目信息收集、CTMS系统管理工作。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7.根据部门文化宣传需求，维护媒体资源，策划设计宣传物料的平面设计、制作和管理。</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8.负责项目招募广告、部门对外关系维护物料、对内团队建设物料的平面设计与制作和管理，包</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括但不限于感谢信、礼品、贺卡、奖状、奖杯、证书等物料。</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9.协助策划、举办部门团队文化建设的各项活动，负责活动的拍摄宣传及制作。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10.协助部门收集和整理工作数据，协助完成报表可视化处理，可清晰明了地展示数据分析结果。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11.协助部门工作文件的排版整理和视觉美化，制定文件排版规则并负责相关质控。</w:t>
            </w:r>
          </w:p>
        </w:tc>
        <w:tc>
          <w:tcPr>
            <w:tcW w:w="7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临床医学/护理学/药学/英语等专业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本科/硕士</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5K-10K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33</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MSL</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1.对接三甲医院临床专家，开展专业学术沟通，传递药物机制、临床数据、前沿研究；</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2.组织区域学术研讨会、研究者会，收集专家临床反馈与未满足临床需求；</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3.开展医学文献解读、真实世界研究、研究者发起项目IIT对接；</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4.合规管理学术沟通记录，收集临床用药安全性、有效性反馈；</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5.不参与药品销售，专注纯医学学术交流，完成学术拜访台账、会议总结；</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6.同步市场、医学部，输出专家观点支撑临床开发与学术推广。</w:t>
            </w:r>
          </w:p>
        </w:tc>
        <w:tc>
          <w:tcPr>
            <w:tcW w:w="7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临床医学/药学等专业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7K-15K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广州生物岛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34</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财务BP</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1.营销/研发/供应链费用核算、台账管理</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2.营销/研发/供应链费用合规性核查，管控费用投放ROI，出具财务分析报表；</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3.销售提成、渠道费用核算，优化营销预算分配模型；</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4.梳理营销财务流程，配合内审、税务核查，提出费用管控优化方案；</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5.输出区域、产品线费用分析，为营销决策提供财务数据支撑。</w:t>
            </w:r>
          </w:p>
        </w:tc>
        <w:tc>
          <w:tcPr>
            <w:tcW w:w="726" w:type="pc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财务管理/会计学/审计学/税务等专业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5K-10K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35</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财务会计</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1.按照国家会计制度的规定审核原始单据的合理性，合法性，有效性，并根据会计准则要求编制会计凭证记帐、复</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帐、报帐，做到手续完备，数字准确，帐目清楚，按期报帐；</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2.负责公司固定资产的帐务管理，定期与资产管理部门开展盘点工作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3.负责与关联公司往来对账工作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4.协助完成公司的外部审计工作</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5.妥善保管会计凭证、会计帐簿、会计报表和其他会计资料；</w:t>
            </w:r>
          </w:p>
        </w:tc>
        <w:tc>
          <w:tcPr>
            <w:tcW w:w="726" w:type="pc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财务管理/会计学/审计学/税务等专业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5K-10K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36</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CRA实习生</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1.根据试验方案、SOP、GCP要求，负责临床试验的组织、实施、执行和临床监查；</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2.参与制订临床试验协议，制订项目计划、进度表及研究方案，跟踪、检查项目各阶段的完成情况，追踪试验的执行情况，进行质量控制，及时发现并解决问题，确保试验品质；</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3.负责各研究中心、申办者、数据管理人员之间的协调与沟通，并解决与研究有关的问题；</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4.准备临床试验各相关文件，协助完成临床试验总结报告；</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5.保持与研究单位良好的沟通与协调；</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6.根据ICH-GCP及项目要求，妥善建立并管理项目文件资料系统；</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7.根据公司需要，提供必要的临床试验相关技术支持。</w:t>
            </w:r>
          </w:p>
        </w:tc>
        <w:tc>
          <w:tcPr>
            <w:tcW w:w="7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临床/药学/护理/公卫/生物医药/英语等专业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2k</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37</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CTA实习生</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1.负责组织项目相关会议，收集培训/会议签到表，存档相关资料及会议录屏到指定文件夹；</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2.负责协助跟进项目相关的流程审批，发票及合同回收；</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3.负责对项目层面产生的文件进行存档登记上传到文件组网盘eTMF；</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4.负责中心用启动物资申请及邮寄；</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5.负责按照财务及费用组的要求，提供每月各项目的资金预算；</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6.负责各项目中心PV要求更新维护研究者分发列表；</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7.负责申请各类项目相关供应商系统账号的开通/删除；</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8.负责定期更新维护项目进度等表格；</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9.负责项目组人员调整的对接、申请开通网盘权限；</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10.负责项目供应商对账单核对；</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11.负责协助临床研究经理对项目周报、月报、肿瘤评估表收集管理。</w:t>
            </w:r>
          </w:p>
        </w:tc>
        <w:tc>
          <w:tcPr>
            <w:tcW w:w="7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专业不限</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本科/硕士</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2k</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38</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管培生</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1.负责翻译(中英互译)涉及境外的注册申报、供应商审计、官方或客户检查、技术交流、商务往来等工作中，需要进行翻译的文件和资料。</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2、负责工作中需要中英文翻译的场合(包括但不限于，境外检查、客户访问、商务沟通等)，进行现场实时翻译，并书面记录翻译内容。</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3、参与英文版文件的起草、修订和审核，以本职(翻译)专业角度提出意见。4、有义务在公司其他部门需要翻译工作时提供必要的支援</w:t>
            </w:r>
          </w:p>
        </w:tc>
        <w:tc>
          <w:tcPr>
            <w:tcW w:w="7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英语</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6K-10K</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特殊单独申请</w:t>
            </w: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中山、广州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39</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kern w:val="2"/>
                <w:sz w:val="20"/>
                <w:szCs w:val="20"/>
                <w:u w:val="none"/>
                <w:lang w:val="en-US" w:eastAsia="zh-CN" w:bidi="ar-SA"/>
              </w:rPr>
            </w:pPr>
            <w:r>
              <w:rPr>
                <w:rFonts w:hint="eastAsia" w:ascii="黑体" w:hAnsi="宋体" w:eastAsia="黑体" w:cs="黑体"/>
                <w:i w:val="0"/>
                <w:iCs w:val="0"/>
                <w:color w:val="000000"/>
                <w:kern w:val="0"/>
                <w:sz w:val="20"/>
                <w:szCs w:val="20"/>
                <w:u w:val="none"/>
                <w:lang w:val="en-US" w:eastAsia="zh-CN" w:bidi="ar"/>
              </w:rPr>
              <w:t>医学信息沟通专员</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kern w:val="2"/>
                <w:sz w:val="16"/>
                <w:szCs w:val="16"/>
                <w:u w:val="none"/>
                <w:lang w:val="en-US" w:eastAsia="zh-CN" w:bidi="ar-SA"/>
              </w:rPr>
            </w:pPr>
            <w:r>
              <w:rPr>
                <w:rFonts w:hint="eastAsia" w:ascii="黑体" w:hAnsi="宋体" w:eastAsia="黑体" w:cs="黑体"/>
                <w:i w:val="0"/>
                <w:iCs w:val="0"/>
                <w:color w:val="000000"/>
                <w:kern w:val="0"/>
                <w:sz w:val="16"/>
                <w:szCs w:val="16"/>
                <w:u w:val="none"/>
                <w:lang w:val="en-US" w:eastAsia="zh-CN" w:bidi="ar"/>
              </w:rPr>
              <w:t>1.根据试验方案、SOP、GCP要求，负责临床试验的组织、实施、执行、监查，建立并管理项目文件;</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2.制订临床试验协议、项目计划进度表，跟踪、检查项目完成情况，质量控制，及时发现并解决问题;</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3.与各研究中心研究者、CRC及公司内部之间的沟通与协调，解决有关的问题，准备临床试验相关文件，完成临床试验报告</w:t>
            </w:r>
          </w:p>
        </w:tc>
        <w:tc>
          <w:tcPr>
            <w:tcW w:w="7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kern w:val="2"/>
                <w:sz w:val="20"/>
                <w:szCs w:val="20"/>
                <w:u w:val="none"/>
                <w:lang w:val="en-US" w:eastAsia="zh-CN" w:bidi="ar-SA"/>
              </w:rPr>
            </w:pPr>
            <w:r>
              <w:rPr>
                <w:rFonts w:hint="eastAsia" w:ascii="黑体" w:hAnsi="宋体" w:eastAsia="黑体" w:cs="黑体"/>
                <w:i w:val="0"/>
                <w:iCs w:val="0"/>
                <w:color w:val="000000"/>
                <w:kern w:val="0"/>
                <w:sz w:val="20"/>
                <w:szCs w:val="20"/>
                <w:u w:val="none"/>
                <w:lang w:val="en-US" w:eastAsia="zh-CN" w:bidi="ar"/>
              </w:rPr>
              <w:t>医学/药学/护理学/营销类</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kern w:val="2"/>
                <w:sz w:val="20"/>
                <w:szCs w:val="20"/>
                <w:u w:val="none"/>
                <w:lang w:val="en-US" w:eastAsia="zh-CN" w:bidi="ar-SA"/>
              </w:rPr>
            </w:pPr>
            <w:r>
              <w:rPr>
                <w:rFonts w:hint="eastAsia" w:ascii="黑体" w:hAnsi="宋体" w:eastAsia="黑体" w:cs="黑体"/>
                <w:i w:val="0"/>
                <w:iCs w:val="0"/>
                <w:color w:val="000000"/>
                <w:kern w:val="0"/>
                <w:sz w:val="20"/>
                <w:szCs w:val="20"/>
                <w:u w:val="none"/>
                <w:lang w:val="en-US" w:eastAsia="zh-CN" w:bidi="ar"/>
              </w:rPr>
              <w:t>本科</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kern w:val="2"/>
                <w:sz w:val="20"/>
                <w:szCs w:val="20"/>
                <w:u w:val="none"/>
                <w:lang w:val="en-US" w:eastAsia="zh-CN" w:bidi="ar-SA"/>
              </w:rPr>
            </w:pPr>
            <w:r>
              <w:rPr>
                <w:rFonts w:hint="eastAsia" w:ascii="黑体" w:hAnsi="宋体" w:eastAsia="黑体" w:cs="黑体"/>
                <w:i w:val="0"/>
                <w:iCs w:val="0"/>
                <w:color w:val="000000"/>
                <w:kern w:val="0"/>
                <w:sz w:val="20"/>
                <w:szCs w:val="20"/>
                <w:u w:val="none"/>
                <w:lang w:val="en-US" w:eastAsia="zh-CN" w:bidi="ar"/>
              </w:rPr>
              <w:t>全国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kern w:val="0"/>
                <w:sz w:val="24"/>
                <w:szCs w:val="24"/>
                <w:u w:val="none"/>
                <w:lang w:val="en-US" w:eastAsia="zh-CN" w:bidi="ar"/>
              </w:rPr>
            </w:pPr>
            <w:r>
              <w:rPr>
                <w:rFonts w:hint="eastAsia" w:ascii="黑体" w:hAnsi="宋体" w:eastAsia="黑体" w:cs="黑体"/>
                <w:i w:val="0"/>
                <w:iCs w:val="0"/>
                <w:color w:val="000000"/>
                <w:kern w:val="0"/>
                <w:sz w:val="24"/>
                <w:szCs w:val="24"/>
                <w:u w:val="none"/>
                <w:lang w:val="en-US" w:eastAsia="zh-CN" w:bidi="ar"/>
              </w:rPr>
              <w:t>40</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kern w:val="2"/>
                <w:sz w:val="20"/>
                <w:szCs w:val="20"/>
                <w:u w:val="none"/>
                <w:lang w:val="en-US" w:eastAsia="zh-CN" w:bidi="ar-SA"/>
              </w:rPr>
            </w:pPr>
            <w:r>
              <w:rPr>
                <w:rFonts w:hint="eastAsia" w:ascii="黑体" w:hAnsi="宋体" w:eastAsia="黑体" w:cs="黑体"/>
                <w:i w:val="0"/>
                <w:iCs w:val="0"/>
                <w:color w:val="000000"/>
                <w:kern w:val="0"/>
                <w:sz w:val="20"/>
                <w:szCs w:val="20"/>
                <w:u w:val="none"/>
                <w:lang w:val="en-US" w:eastAsia="zh-CN" w:bidi="ar"/>
              </w:rPr>
              <w:t>药物研发助理</w:t>
            </w:r>
          </w:p>
        </w:tc>
        <w:tc>
          <w:tcPr>
            <w:tcW w:w="189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黑体" w:hAnsi="宋体" w:eastAsia="黑体" w:cs="黑体"/>
                <w:i w:val="0"/>
                <w:iCs w:val="0"/>
                <w:color w:val="000000"/>
                <w:kern w:val="2"/>
                <w:sz w:val="16"/>
                <w:szCs w:val="16"/>
                <w:u w:val="none"/>
                <w:lang w:val="en-US" w:eastAsia="zh-CN" w:bidi="ar-SA"/>
              </w:rPr>
            </w:pPr>
            <w:r>
              <w:rPr>
                <w:rFonts w:hint="eastAsia" w:ascii="黑体" w:hAnsi="宋体" w:eastAsia="黑体" w:cs="黑体"/>
                <w:i w:val="0"/>
                <w:iCs w:val="0"/>
                <w:color w:val="000000"/>
                <w:kern w:val="0"/>
                <w:sz w:val="16"/>
                <w:szCs w:val="16"/>
                <w:u w:val="none"/>
                <w:lang w:val="en-US" w:eastAsia="zh-CN" w:bidi="ar"/>
              </w:rPr>
              <w:t>1.参与创新药早期研发试验工作，按照SOP完成细胞、分子生物学相关实验操作，做好实验记录，数据整理与汇总;</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2.协助研究员开展肿瘤、自身免疫方向候选药物的筛选、验证，整理实验报告;</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3.负责实验试剂、耗材的台账管理，维护实验室环境，遵守实验室安全规范;</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4.配合项目组完成文献调研、资料归档，职称项目节点推进。</w:t>
            </w:r>
          </w:p>
        </w:tc>
        <w:tc>
          <w:tcPr>
            <w:tcW w:w="7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kern w:val="2"/>
                <w:sz w:val="20"/>
                <w:szCs w:val="20"/>
                <w:u w:val="none"/>
                <w:lang w:val="en-US" w:eastAsia="zh-CN" w:bidi="ar-SA"/>
              </w:rPr>
            </w:pPr>
            <w:r>
              <w:rPr>
                <w:rFonts w:hint="eastAsia" w:ascii="黑体" w:hAnsi="宋体" w:eastAsia="黑体" w:cs="黑体"/>
                <w:i w:val="0"/>
                <w:iCs w:val="0"/>
                <w:color w:val="000000"/>
                <w:kern w:val="0"/>
                <w:sz w:val="20"/>
                <w:szCs w:val="20"/>
                <w:u w:val="none"/>
                <w:lang w:val="en-US" w:eastAsia="zh-CN" w:bidi="ar"/>
              </w:rPr>
              <w:t>生物化学/分子生物学免疫学/药物化学药理学/生物医学工程等专业</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kern w:val="2"/>
                <w:sz w:val="20"/>
                <w:szCs w:val="20"/>
                <w:u w:val="none"/>
                <w:lang w:val="en-US" w:eastAsia="zh-CN" w:bidi="ar-SA"/>
              </w:rPr>
            </w:pPr>
            <w:r>
              <w:rPr>
                <w:rFonts w:hint="eastAsia" w:ascii="黑体" w:hAnsi="宋体" w:eastAsia="黑体" w:cs="黑体"/>
                <w:i w:val="0"/>
                <w:iCs w:val="0"/>
                <w:color w:val="000000"/>
                <w:kern w:val="0"/>
                <w:sz w:val="20"/>
                <w:szCs w:val="20"/>
                <w:u w:val="none"/>
                <w:lang w:val="en-US" w:eastAsia="zh-CN" w:bidi="ar"/>
              </w:rPr>
              <w:t>本科/硕士</w:t>
            </w:r>
          </w:p>
        </w:tc>
        <w:tc>
          <w:tcPr>
            <w:tcW w:w="5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kern w:val="2"/>
                <w:sz w:val="20"/>
                <w:szCs w:val="20"/>
                <w:u w:val="none"/>
                <w:lang w:val="en-US" w:eastAsia="zh-CN" w:bidi="ar-SA"/>
              </w:rPr>
            </w:pPr>
            <w:r>
              <w:rPr>
                <w:rFonts w:hint="eastAsia" w:ascii="黑体" w:hAnsi="宋体" w:eastAsia="黑体" w:cs="黑体"/>
                <w:i w:val="0"/>
                <w:iCs w:val="0"/>
                <w:color w:val="000000"/>
                <w:kern w:val="0"/>
                <w:sz w:val="20"/>
                <w:szCs w:val="20"/>
                <w:u w:val="none"/>
                <w:lang w:val="en-US" w:eastAsia="zh-CN" w:bidi="ar"/>
              </w:rPr>
              <w:t>中山</w:t>
            </w:r>
          </w:p>
        </w:tc>
      </w:tr>
    </w:tbl>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b/>
          <w:sz w:val="24"/>
          <w:lang w:eastAsia="zh-CN"/>
        </w:rPr>
      </w:pPr>
      <w:r>
        <w:rPr>
          <w:rFonts w:hint="eastAsia"/>
          <w:b/>
          <w:sz w:val="24"/>
          <w:lang w:eastAsia="zh-CN"/>
        </w:rPr>
        <w:t>三、福利待遇</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sz w:val="24"/>
        </w:rPr>
      </w:pPr>
      <w:r>
        <w:rPr>
          <w:rFonts w:hint="eastAsia"/>
          <w:sz w:val="24"/>
          <w:lang w:val="en-US" w:eastAsia="zh-CN"/>
        </w:rPr>
        <w:t>1、</w:t>
      </w:r>
      <w:r>
        <w:rPr>
          <w:rFonts w:hint="eastAsia"/>
          <w:sz w:val="24"/>
        </w:rPr>
        <w:t>足额缴纳五险一金，基础保障拉满</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eastAsiaTheme="minorEastAsia"/>
          <w:sz w:val="24"/>
          <w:lang w:val="en-US" w:eastAsia="zh-CN"/>
        </w:rPr>
      </w:pPr>
      <w:r>
        <w:rPr>
          <w:rFonts w:hint="eastAsia"/>
          <w:sz w:val="24"/>
          <w:lang w:val="en-US" w:eastAsia="zh-CN"/>
        </w:rPr>
        <w:t>2、</w:t>
      </w:r>
      <w:r>
        <w:rPr>
          <w:rFonts w:hint="eastAsia"/>
          <w:sz w:val="24"/>
        </w:rPr>
        <w:t>享有法定带薪年假，合理调节作息</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sz w:val="24"/>
        </w:rPr>
      </w:pPr>
      <w:r>
        <w:rPr>
          <w:rFonts w:hint="eastAsia"/>
          <w:sz w:val="24"/>
          <w:lang w:val="en-US" w:eastAsia="zh-CN"/>
        </w:rPr>
        <w:t>3、</w:t>
      </w:r>
      <w:r>
        <w:rPr>
          <w:rFonts w:hint="eastAsia"/>
          <w:sz w:val="24"/>
        </w:rPr>
        <w:t>实行周末双休，平衡工作与生活</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sz w:val="24"/>
        </w:rPr>
      </w:pPr>
      <w:r>
        <w:rPr>
          <w:rFonts w:hint="eastAsia"/>
          <w:sz w:val="24"/>
          <w:lang w:val="en-US" w:eastAsia="zh-CN"/>
        </w:rPr>
        <w:t>4、</w:t>
      </w:r>
      <w:r>
        <w:rPr>
          <w:rFonts w:hint="eastAsia"/>
          <w:sz w:val="24"/>
        </w:rPr>
        <w:t>系统化岗前+在岗持续培训</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sz w:val="24"/>
        </w:rPr>
      </w:pPr>
      <w:r>
        <w:rPr>
          <w:rFonts w:hint="eastAsia"/>
          <w:sz w:val="24"/>
          <w:lang w:val="en-US" w:eastAsia="zh-CN"/>
        </w:rPr>
        <w:t>5、</w:t>
      </w:r>
      <w:r>
        <w:rPr>
          <w:rFonts w:hint="eastAsia"/>
          <w:sz w:val="24"/>
        </w:rPr>
        <w:t>透明清晰的职业晋升发展通道</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sz w:val="24"/>
        </w:rPr>
      </w:pPr>
      <w:r>
        <w:rPr>
          <w:rFonts w:hint="eastAsia"/>
          <w:sz w:val="24"/>
          <w:lang w:val="en-US" w:eastAsia="zh-CN"/>
        </w:rPr>
        <w:t>6、</w:t>
      </w:r>
      <w:r>
        <w:rPr>
          <w:rFonts w:hint="eastAsia"/>
          <w:sz w:val="24"/>
        </w:rPr>
        <w:t>绩效奖金+年终激励，付出收获回报</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sz w:val="24"/>
        </w:rPr>
      </w:pPr>
      <w:r>
        <w:rPr>
          <w:rFonts w:hint="eastAsia"/>
          <w:sz w:val="24"/>
          <w:lang w:val="en-US" w:eastAsia="zh-CN"/>
        </w:rPr>
        <w:t>7、</w:t>
      </w:r>
      <w:r>
        <w:rPr>
          <w:rFonts w:hint="eastAsia"/>
          <w:sz w:val="24"/>
        </w:rPr>
        <w:t>整洁舒适的现代化办公环境</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sz w:val="24"/>
        </w:rPr>
      </w:pPr>
      <w:r>
        <w:rPr>
          <w:rFonts w:hint="eastAsia"/>
          <w:sz w:val="24"/>
          <w:lang w:val="en-US" w:eastAsia="zh-CN"/>
        </w:rPr>
        <w:t>8、</w:t>
      </w:r>
      <w:r>
        <w:rPr>
          <w:rFonts w:hint="eastAsia"/>
          <w:sz w:val="24"/>
        </w:rPr>
        <w:t>丰富节日福利、多样团队团建活动</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sz w:val="24"/>
        </w:rPr>
      </w:pPr>
      <w:r>
        <w:rPr>
          <w:rFonts w:hint="eastAsia"/>
          <w:sz w:val="24"/>
          <w:lang w:val="en-US" w:eastAsia="zh-CN"/>
        </w:rPr>
        <w:t>9、</w:t>
      </w:r>
      <w:r>
        <w:rPr>
          <w:rFonts w:hint="eastAsia"/>
          <w:sz w:val="24"/>
        </w:rPr>
        <w:t>专项技能提升培训，助力成长</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sz w:val="24"/>
        </w:rPr>
      </w:pPr>
      <w:r>
        <w:rPr>
          <w:rFonts w:hint="eastAsia"/>
          <w:sz w:val="24"/>
          <w:lang w:val="en-US" w:eastAsia="zh-CN"/>
        </w:rPr>
        <w:t>10、</w:t>
      </w:r>
      <w:r>
        <w:rPr>
          <w:rFonts w:hint="eastAsia"/>
          <w:sz w:val="24"/>
        </w:rPr>
        <w:t>暖心员工关怀，感受团队温度</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sz w:val="24"/>
        </w:rPr>
      </w:pPr>
      <w:r>
        <w:rPr>
          <w:rFonts w:hint="eastAsia"/>
          <w:sz w:val="24"/>
          <w:lang w:val="en-US" w:eastAsia="zh-CN"/>
        </w:rPr>
        <w:t>11、</w:t>
      </w:r>
      <w:r>
        <w:rPr>
          <w:rFonts w:hint="eastAsia"/>
          <w:sz w:val="24"/>
        </w:rPr>
        <w:t>定期年度体检，守护身心健康</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b/>
          <w:sz w:val="24"/>
        </w:rPr>
      </w:pPr>
      <w:r>
        <w:rPr>
          <w:rFonts w:hint="eastAsia"/>
          <w:b/>
          <w:sz w:val="24"/>
          <w:lang w:eastAsia="zh-CN"/>
        </w:rPr>
        <w:t>四、</w:t>
      </w:r>
      <w:r>
        <w:rPr>
          <w:rFonts w:hint="eastAsia"/>
          <w:b/>
          <w:sz w:val="24"/>
        </w:rPr>
        <w:t>联系方式</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sz w:val="24"/>
        </w:rPr>
      </w:pPr>
      <w:r>
        <w:rPr>
          <w:rFonts w:hint="eastAsia"/>
          <w:sz w:val="24"/>
        </w:rPr>
        <w:t>联系人：</w:t>
      </w:r>
      <w:r>
        <w:rPr>
          <w:rFonts w:hint="eastAsia"/>
          <w:sz w:val="24"/>
          <w:lang w:val="en-US" w:eastAsia="zh-CN"/>
        </w:rPr>
        <w:t>柯晓芬</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sz w:val="24"/>
        </w:rPr>
      </w:pPr>
      <w:r>
        <w:rPr>
          <w:rFonts w:hint="eastAsia"/>
          <w:sz w:val="24"/>
        </w:rPr>
        <w:t>联系电话：</w:t>
      </w:r>
      <w:r>
        <w:rPr>
          <w:rFonts w:hint="eastAsia"/>
          <w:sz w:val="24"/>
          <w:lang w:val="en-US" w:eastAsia="zh-CN"/>
        </w:rPr>
        <w:t>0760-89873936</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sz w:val="24"/>
        </w:rPr>
      </w:pPr>
      <w:r>
        <w:rPr>
          <w:rFonts w:hint="eastAsia"/>
          <w:sz w:val="24"/>
          <w:lang w:eastAsia="zh-CN"/>
        </w:rPr>
        <w:t>工作</w:t>
      </w:r>
      <w:r>
        <w:rPr>
          <w:rFonts w:hint="eastAsia"/>
          <w:sz w:val="24"/>
        </w:rPr>
        <w:t>地址：</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sz w:val="24"/>
          <w:lang w:val="en-US" w:eastAsia="zh-CN"/>
        </w:rPr>
      </w:pPr>
      <w:r>
        <w:rPr>
          <w:rFonts w:hint="eastAsia"/>
          <w:sz w:val="24"/>
          <w:lang w:val="en-US" w:eastAsia="zh-CN"/>
        </w:rPr>
        <w:t>广东省中山市火炬开发区神农路6号</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sz w:val="24"/>
          <w:lang w:val="en-US" w:eastAsia="zh-CN"/>
        </w:rPr>
      </w:pPr>
      <w:r>
        <w:rPr>
          <w:rFonts w:ascii="宋体" w:hAnsi="宋体" w:eastAsia="宋体" w:cs="宋体"/>
          <w:sz w:val="24"/>
          <w:szCs w:val="24"/>
        </w:rPr>
        <w:t>广东省中山市翠亨新区西湾路28号</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ascii="宋体" w:hAnsi="宋体" w:eastAsia="宋体" w:cs="宋体"/>
          <w:sz w:val="24"/>
          <w:szCs w:val="24"/>
        </w:rPr>
      </w:pPr>
      <w:r>
        <w:rPr>
          <w:rFonts w:ascii="宋体" w:hAnsi="宋体" w:eastAsia="宋体" w:cs="宋体"/>
          <w:sz w:val="24"/>
          <w:szCs w:val="24"/>
        </w:rPr>
        <w:t>广州市黄埔区中新知识城康耀南路158号</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ascii="宋体" w:hAnsi="宋体" w:eastAsia="宋体" w:cs="宋体"/>
          <w:sz w:val="24"/>
          <w:szCs w:val="24"/>
        </w:rPr>
      </w:pPr>
      <w:r>
        <w:rPr>
          <w:rFonts w:ascii="宋体" w:hAnsi="宋体" w:eastAsia="宋体" w:cs="宋体"/>
          <w:sz w:val="24"/>
          <w:szCs w:val="24"/>
        </w:rPr>
        <w:t>广州市黄埔区康耀中路2号</w:t>
      </w:r>
    </w:p>
    <w:p>
      <w:pPr>
        <w:keepNext w:val="0"/>
        <w:keepLines w:val="0"/>
        <w:pageBreakBefore w:val="0"/>
        <w:widowControl w:val="0"/>
        <w:kinsoku/>
        <w:wordWrap/>
        <w:overflowPunct/>
        <w:topLinePunct w:val="0"/>
        <w:autoSpaceDE/>
        <w:autoSpaceDN/>
        <w:bidi w:val="0"/>
        <w:adjustRightInd/>
        <w:snapToGrid/>
        <w:spacing w:line="160" w:lineRule="atLeast"/>
        <w:ind w:firstLine="0" w:firstLineChars="0"/>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简历投递邮箱：</w:t>
      </w:r>
      <w:r>
        <w:rPr>
          <w:rFonts w:hint="eastAsia" w:ascii="微软雅黑" w:hAnsi="微软雅黑" w:eastAsia="微软雅黑" w:cs="微软雅黑"/>
          <w:b/>
          <w:bCs/>
          <w:sz w:val="24"/>
          <w:szCs w:val="24"/>
          <w:lang w:val="en-US" w:eastAsia="zh-CN"/>
        </w:rPr>
        <w:t>hr@akesobio.com</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b/>
          <w:bCs/>
          <w:sz w:val="24"/>
          <w:lang w:eastAsia="zh-CN"/>
        </w:rPr>
      </w:pPr>
      <w:r>
        <w:rPr>
          <w:rFonts w:hint="eastAsia"/>
          <w:b/>
          <w:bCs/>
          <w:sz w:val="24"/>
          <w:lang w:eastAsia="zh-CN"/>
        </w:rPr>
        <w:t>扫码投递简历</w:t>
      </w:r>
    </w:p>
    <w:p>
      <w:pPr>
        <w:keepNext w:val="0"/>
        <w:keepLines w:val="0"/>
        <w:pageBreakBefore w:val="0"/>
        <w:widowControl w:val="0"/>
        <w:kinsoku/>
        <w:wordWrap/>
        <w:overflowPunct/>
        <w:topLinePunct w:val="0"/>
        <w:autoSpaceDE/>
        <w:autoSpaceDN/>
        <w:bidi w:val="0"/>
        <w:adjustRightInd/>
        <w:snapToGrid/>
        <w:spacing w:line="420" w:lineRule="auto"/>
        <w:textAlignment w:val="auto"/>
        <w:rPr>
          <w:rFonts w:hint="eastAsia"/>
          <w:b/>
          <w:bCs/>
          <w:sz w:val="24"/>
          <w:lang w:eastAsia="zh-CN"/>
        </w:rPr>
      </w:pPr>
      <w:r>
        <w:rPr>
          <w:rFonts w:hint="eastAsia"/>
          <w:b/>
          <w:bCs/>
          <w:sz w:val="24"/>
          <w:lang w:eastAsia="zh-CN"/>
        </w:rPr>
        <w:drawing>
          <wp:inline distT="0" distB="0" distL="114300" distR="114300">
            <wp:extent cx="1809750" cy="1809750"/>
            <wp:effectExtent l="0" t="0" r="6350" b="6350"/>
            <wp:docPr id="1"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二维码"/>
                    <pic:cNvPicPr>
                      <a:picLocks noChangeAspect="1"/>
                    </pic:cNvPicPr>
                  </pic:nvPicPr>
                  <pic:blipFill>
                    <a:blip r:embed="rId4"/>
                    <a:stretch>
                      <a:fillRect/>
                    </a:stretch>
                  </pic:blipFill>
                  <pic:spPr>
                    <a:xfrm>
                      <a:off x="0" y="0"/>
                      <a:ext cx="1809750" cy="180975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360B23"/>
    <w:rsid w:val="007934CC"/>
    <w:rsid w:val="007E57CB"/>
    <w:rsid w:val="00BB0F6D"/>
    <w:rsid w:val="00C04740"/>
    <w:rsid w:val="00C50F88"/>
    <w:rsid w:val="00D55F3B"/>
    <w:rsid w:val="00DA169F"/>
    <w:rsid w:val="011165E2"/>
    <w:rsid w:val="012809FB"/>
    <w:rsid w:val="07BA34BB"/>
    <w:rsid w:val="0BD83372"/>
    <w:rsid w:val="17051824"/>
    <w:rsid w:val="1A2567C3"/>
    <w:rsid w:val="1CD05A3D"/>
    <w:rsid w:val="1E1862E1"/>
    <w:rsid w:val="1E186C65"/>
    <w:rsid w:val="29CE6984"/>
    <w:rsid w:val="2B21604D"/>
    <w:rsid w:val="2B5E1B4A"/>
    <w:rsid w:val="327B01C5"/>
    <w:rsid w:val="33265EB1"/>
    <w:rsid w:val="3ADC741E"/>
    <w:rsid w:val="3F2E3EB4"/>
    <w:rsid w:val="56546ABF"/>
    <w:rsid w:val="61E51810"/>
    <w:rsid w:val="67DF496A"/>
    <w:rsid w:val="687206BE"/>
    <w:rsid w:val="687332FD"/>
    <w:rsid w:val="68D946A9"/>
    <w:rsid w:val="6DF8721D"/>
    <w:rsid w:val="6DFC5E38"/>
    <w:rsid w:val="72DB75A2"/>
    <w:rsid w:val="7AAD7E09"/>
    <w:rsid w:val="7C9E79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line="360" w:lineRule="auto"/>
      <w:ind w:firstLine="420" w:firstLineChars="200"/>
      <w:outlineLvl w:val="1"/>
    </w:pPr>
    <w:rPr>
      <w:rFonts w:ascii="Arial" w:hAnsi="Arial" w:eastAsia="楷体"/>
      <w:sz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qFormat/>
    <w:uiPriority w:val="0"/>
    <w:rPr>
      <w:kern w:val="2"/>
      <w:sz w:val="18"/>
      <w:szCs w:val="18"/>
    </w:rPr>
  </w:style>
  <w:style w:type="character" w:customStyle="1" w:styleId="10">
    <w:name w:val="font41"/>
    <w:basedOn w:val="7"/>
    <w:qFormat/>
    <w:uiPriority w:val="0"/>
    <w:rPr>
      <w:rFonts w:ascii="Wingdings 2" w:hAnsi="Wingdings 2" w:eastAsia="Wingdings 2" w:cs="Wingdings 2"/>
      <w:color w:val="000000"/>
      <w:sz w:val="16"/>
      <w:szCs w:val="16"/>
      <w:u w:val="none"/>
    </w:rPr>
  </w:style>
  <w:style w:type="character" w:customStyle="1" w:styleId="11">
    <w:name w:val="font01"/>
    <w:basedOn w:val="7"/>
    <w:qFormat/>
    <w:uiPriority w:val="0"/>
    <w:rPr>
      <w:rFonts w:hint="eastAsia" w:ascii="黑体" w:hAnsi="宋体" w:eastAsia="黑体" w:cs="黑体"/>
      <w:color w:val="000000"/>
      <w:sz w:val="16"/>
      <w:szCs w:val="16"/>
      <w:u w:val="none"/>
    </w:rPr>
  </w:style>
  <w:style w:type="character" w:customStyle="1" w:styleId="12">
    <w:name w:val="font51"/>
    <w:basedOn w:val="7"/>
    <w:qFormat/>
    <w:uiPriority w:val="0"/>
    <w:rPr>
      <w:rFonts w:ascii="Wingdings 2" w:hAnsi="Wingdings 2" w:eastAsia="Wingdings 2" w:cs="Wingdings 2"/>
      <w:color w:val="000000"/>
      <w:sz w:val="16"/>
      <w:szCs w:val="16"/>
      <w:u w:val="none"/>
    </w:rPr>
  </w:style>
  <w:style w:type="character" w:customStyle="1" w:styleId="13">
    <w:name w:val="font31"/>
    <w:basedOn w:val="7"/>
    <w:qFormat/>
    <w:uiPriority w:val="0"/>
    <w:rPr>
      <w:rFonts w:ascii="Wingdings 2" w:hAnsi="Wingdings 2" w:eastAsia="Wingdings 2" w:cs="Wingdings 2"/>
      <w:color w:val="000000"/>
      <w:sz w:val="16"/>
      <w:szCs w:val="16"/>
      <w:u w:val="none"/>
    </w:rPr>
  </w:style>
  <w:style w:type="character" w:customStyle="1" w:styleId="14">
    <w:name w:val="font11"/>
    <w:basedOn w:val="7"/>
    <w:qFormat/>
    <w:uiPriority w:val="0"/>
    <w:rPr>
      <w:rFonts w:ascii="Wingdings 2" w:hAnsi="Wingdings 2" w:eastAsia="Wingdings 2" w:cs="Wingdings 2"/>
      <w:color w:val="000000"/>
      <w:sz w:val="16"/>
      <w:szCs w:val="16"/>
      <w:u w:val="none"/>
    </w:rPr>
  </w:style>
  <w:style w:type="character" w:customStyle="1" w:styleId="15">
    <w:name w:val="font21"/>
    <w:basedOn w:val="7"/>
    <w:qFormat/>
    <w:uiPriority w:val="0"/>
    <w:rPr>
      <w:rFonts w:hint="eastAsia" w:ascii="黑体" w:hAnsi="宋体" w:eastAsia="黑体" w:cs="黑体"/>
      <w:color w:val="000000"/>
      <w:sz w:val="16"/>
      <w:szCs w:val="16"/>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70</Words>
  <Characters>403</Characters>
  <Lines>3</Lines>
  <Paragraphs>1</Paragraphs>
  <TotalTime>0</TotalTime>
  <ScaleCrop>false</ScaleCrop>
  <LinksUpToDate>false</LinksUpToDate>
  <CharactersWithSpaces>472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2016-05-12T08:04:00Z</dcterms:created>
  <dc:creator>Administrator</dc:creator>
  <cp:lastModifiedBy>梁艳雯</cp:lastModifiedBy>
  <dcterms:modified xsi:type="dcterms:W3CDTF">2026-09-18T03:34:01Z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D95352D9A0F54D798A5A77CD6D32643C</vt:lpwstr>
  </property>
</Properties>
</file>