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b/>
          <w:sz w:val="40"/>
          <w:szCs w:val="32"/>
        </w:rPr>
      </w:pPr>
      <w:r>
        <w:rPr>
          <w:rFonts w:hint="eastAsia" w:ascii="黑体" w:hAnsi="黑体" w:eastAsia="黑体" w:cs="黑体"/>
          <w:b/>
          <w:sz w:val="40"/>
          <w:szCs w:val="32"/>
        </w:rPr>
        <w:t>中石化第四建设有限公司</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b/>
          <w:sz w:val="40"/>
          <w:szCs w:val="32"/>
          <w:lang w:val="en-US" w:eastAsia="zh-CN"/>
        </w:rPr>
      </w:pPr>
      <w:r>
        <w:rPr>
          <w:rFonts w:hint="eastAsia" w:ascii="黑体" w:hAnsi="黑体" w:eastAsia="黑体" w:cs="黑体"/>
          <w:b/>
          <w:sz w:val="40"/>
          <w:szCs w:val="32"/>
          <w:lang w:val="en-US" w:eastAsia="zh-CN"/>
        </w:rPr>
        <w:t>2024年校园招聘简章</w:t>
      </w:r>
    </w:p>
    <w:p>
      <w:pPr>
        <w:spacing w:line="440" w:lineRule="exact"/>
        <w:jc w:val="center"/>
        <w:rPr>
          <w:rFonts w:hint="default" w:ascii="黑体" w:hAnsi="黑体" w:eastAsia="黑体" w:cs="黑体"/>
          <w:b/>
          <w:sz w:val="40"/>
          <w:szCs w:val="32"/>
          <w:lang w:val="en-US" w:eastAsia="zh-CN"/>
        </w:rPr>
      </w:pP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中石化第四建设有限公司是中国石油化工集团有限公司控股的中石化炼化工程（集团）股份有限公司的全资子公司。公司先后荣获省部级以上优质工程奖</w:t>
      </w:r>
      <w:r>
        <w:rPr>
          <w:rFonts w:hint="eastAsia" w:ascii="仿宋_GB2312" w:hAnsi="仿宋_GB2312" w:eastAsia="仿宋_GB2312" w:cs="仿宋_GB2312"/>
          <w:sz w:val="32"/>
          <w:szCs w:val="32"/>
          <w:lang w:val="en-US" w:eastAsia="zh-CN"/>
        </w:rPr>
        <w:t>170</w:t>
      </w:r>
      <w:r>
        <w:rPr>
          <w:rFonts w:hint="eastAsia" w:ascii="仿宋_GB2312" w:hAnsi="仿宋_GB2312" w:eastAsia="仿宋_GB2312" w:cs="仿宋_GB2312"/>
          <w:sz w:val="32"/>
          <w:szCs w:val="32"/>
        </w:rPr>
        <w:t>余项，其中，国家优质工程奖</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项，建筑工程鲁班奖9项；获得“全国文明单位”“全国重合同守信用企业”“全国优秀施工管理企业”“全国最佳施工企业”“国家技术创新先进企业”等100余项国家级荣誉，两度获得“国家质量管理奖”；连续通过“国家级高新技术企业”“中国建筑业3A级信用企业”评审，获得“国家优质工程30年突出贡献单位”，被誉为石化战线的“铁军”。</w:t>
      </w:r>
    </w:p>
    <w:p>
      <w:pPr>
        <w:pStyle w:val="5"/>
        <w:spacing w:before="0" w:beforeAutospacing="0" w:after="0" w:afterAutospacing="0" w:line="500" w:lineRule="exact"/>
        <w:ind w:firstLine="643" w:firstLineChars="200"/>
        <w:jc w:val="center"/>
        <w:rPr>
          <w:rFonts w:hint="default"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rPr>
        <w:drawing>
          <wp:anchor distT="0" distB="0" distL="114300" distR="114300" simplePos="0" relativeHeight="251659264" behindDoc="0" locked="0" layoutInCell="1" allowOverlap="1">
            <wp:simplePos x="0" y="0"/>
            <wp:positionH relativeFrom="column">
              <wp:posOffset>164465</wp:posOffset>
            </wp:positionH>
            <wp:positionV relativeFrom="paragraph">
              <wp:posOffset>592455</wp:posOffset>
            </wp:positionV>
            <wp:extent cx="5274310" cy="3602990"/>
            <wp:effectExtent l="0" t="0" r="0" b="0"/>
            <wp:wrapSquare wrapText="bothSides"/>
            <wp:docPr id="1" name="图片 1" descr="D:\DingTalkAppData\DingTalk\502601789_v2\ImageFiles\86\lADPD3zULPUllHzNAhnNAxI_786_5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DingTalkAppData\DingTalk\502601789_v2\ImageFiles\86\lADPD3zULPUllHzNAhnNAxI_786_53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4310" cy="3602990"/>
                    </a:xfrm>
                    <a:prstGeom prst="rect">
                      <a:avLst/>
                    </a:prstGeom>
                    <a:noFill/>
                    <a:ln>
                      <a:noFill/>
                    </a:ln>
                  </pic:spPr>
                </pic:pic>
              </a:graphicData>
            </a:graphic>
          </wp:anchor>
        </w:drawing>
      </w:r>
      <w:r>
        <w:rPr>
          <w:rFonts w:hint="eastAsia" w:ascii="仿宋_GB2312" w:hAnsi="仿宋_GB2312" w:eastAsia="仿宋_GB2312" w:cs="仿宋_GB2312"/>
          <w:b/>
          <w:sz w:val="32"/>
          <w:szCs w:val="32"/>
          <w:lang w:val="en-US" w:eastAsia="zh-CN"/>
        </w:rPr>
        <w:t>人才成长通道</w:t>
      </w:r>
    </w:p>
    <w:p>
      <w:pPr>
        <w:pStyle w:val="5"/>
        <w:spacing w:before="0" w:beforeAutospacing="0" w:after="0" w:afterAutospacing="0" w:line="500" w:lineRule="exact"/>
        <w:ind w:firstLine="643" w:firstLineChars="200"/>
        <w:jc w:val="left"/>
        <w:rPr>
          <w:rFonts w:hint="eastAsia" w:ascii="仿宋_GB2312" w:hAnsi="仿宋_GB2312" w:eastAsia="仿宋_GB2312" w:cs="仿宋_GB2312"/>
          <w:b/>
          <w:sz w:val="32"/>
          <w:szCs w:val="32"/>
          <w:lang w:val="en-US" w:eastAsia="zh-CN"/>
        </w:rPr>
      </w:pPr>
    </w:p>
    <w:p>
      <w:pPr>
        <w:pStyle w:val="5"/>
        <w:spacing w:before="0" w:beforeAutospacing="0" w:after="0" w:afterAutospacing="0" w:line="500" w:lineRule="exact"/>
        <w:jc w:val="left"/>
        <w:rPr>
          <w:rFonts w:hint="eastAsia" w:ascii="仿宋_GB2312" w:hAnsi="仿宋_GB2312" w:eastAsia="仿宋_GB2312" w:cs="仿宋_GB2312"/>
          <w:b w:val="0"/>
          <w:bCs/>
          <w:sz w:val="32"/>
          <w:szCs w:val="32"/>
          <w:lang w:val="en-US" w:eastAsia="zh-CN"/>
        </w:rPr>
      </w:pP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“管理、使用、引进、培养、激励”人才管理“五大机制”。</w:t>
      </w:r>
    </w:p>
    <w:p>
      <w:pPr>
        <w:pStyle w:val="5"/>
        <w:numPr>
          <w:ilvl w:val="0"/>
          <w:numId w:val="0"/>
        </w:numPr>
        <w:spacing w:before="0" w:beforeAutospacing="0" w:after="0" w:afterAutospacing="0" w:line="500" w:lineRule="exact"/>
        <w:ind w:firstLine="960" w:firstLineChars="3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岗位交流历练，导师带徒引领，一站式的职业生涯规划。</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锚定“施工+设计+项目管理+制造”能源化工全产业链综合服务商人才需求，搭建广阔的职业发展平台，让年轻人快速成长，建功立业！</w:t>
      </w:r>
    </w:p>
    <w:p>
      <w:pPr>
        <w:pStyle w:val="5"/>
        <w:spacing w:before="0" w:beforeAutospacing="0" w:after="0" w:afterAutospacing="0" w:line="520" w:lineRule="exact"/>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发挥公司工程设计院、工匠学院、现代焊接研究所、安全工程与环保工程研究所差异化发展优势，打造集工程设计、工程技术研发与推广、职业技能培训、安全环保实操、职业技能鉴定、职业技能竞赛为一体的人才教育培训基地。</w:t>
      </w:r>
    </w:p>
    <w:p>
      <w:pPr>
        <w:pStyle w:val="5"/>
        <w:spacing w:before="0" w:beforeAutospacing="0" w:after="0" w:afterAutospacing="0" w:line="520" w:lineRule="exact"/>
        <w:ind w:firstLine="640" w:firstLineChars="200"/>
        <w:rPr>
          <w:rFonts w:hint="eastAsia" w:ascii="仿宋_GB2312" w:hAnsi="仿宋_GB2312" w:eastAsia="仿宋_GB2312" w:cs="仿宋_GB2312"/>
          <w:b w:val="0"/>
          <w:bCs/>
          <w:sz w:val="32"/>
          <w:szCs w:val="32"/>
          <w:lang w:val="en-US" w:eastAsia="zh-CN"/>
        </w:rPr>
      </w:pPr>
    </w:p>
    <w:p>
      <w:pPr>
        <w:pStyle w:val="5"/>
        <w:spacing w:before="0" w:beforeAutospacing="0" w:after="0" w:afterAutospacing="0" w:line="520" w:lineRule="exact"/>
        <w:ind w:left="0" w:leftChars="0" w:firstLine="0" w:firstLineChars="0"/>
        <w:jc w:val="center"/>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薪酬福利</w:t>
      </w:r>
    </w:p>
    <w:p>
      <w:pPr>
        <w:pStyle w:val="5"/>
        <w:spacing w:before="0" w:beforeAutospacing="0" w:after="0" w:afterAutospacing="0"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薪酬：基本薪酬+津贴+绩效奖金+年度效益奖金。</w:t>
      </w:r>
    </w:p>
    <w:p>
      <w:pPr>
        <w:pStyle w:val="5"/>
        <w:spacing w:before="0" w:beforeAutospacing="0" w:after="0" w:afterAutospacing="0"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福利：五险</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金、补充医保、商业意外伤害保险、带薪年休假及疗养补贴、健康体检、结婚周转房。</w:t>
      </w:r>
    </w:p>
    <w:p>
      <w:pPr>
        <w:pStyle w:val="5"/>
        <w:spacing w:before="0" w:beforeAutospacing="0" w:after="0" w:afterAutospacing="0" w:line="520" w:lineRule="exact"/>
        <w:ind w:firstLine="640" w:firstLineChars="200"/>
        <w:rPr>
          <w:rFonts w:hint="eastAsia" w:ascii="仿宋_GB2312" w:hAnsi="仿宋_GB2312" w:eastAsia="仿宋_GB2312" w:cs="仿宋_GB2312"/>
          <w:sz w:val="32"/>
          <w:szCs w:val="32"/>
        </w:rPr>
      </w:pPr>
    </w:p>
    <w:p>
      <w:pPr>
        <w:pStyle w:val="5"/>
        <w:spacing w:before="0" w:beforeAutospacing="0" w:after="0" w:afterAutospacing="0" w:line="520" w:lineRule="exact"/>
        <w:ind w:left="0" w:leftChars="0" w:firstLine="0" w:firstLineChars="0"/>
        <w:jc w:val="cente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办公住宿条件</w:t>
      </w:r>
    </w:p>
    <w:p>
      <w:pPr>
        <w:pStyle w:val="5"/>
        <w:spacing w:before="0" w:beforeAutospacing="0" w:after="0" w:afterAutospacing="0"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办公、食宿条件：标准化办公环境、公寓化住宿管理，和谐的团队氛围让项目员工体验“家”的温馨。</w:t>
      </w:r>
    </w:p>
    <w:p>
      <w:pPr>
        <w:pStyle w:val="5"/>
        <w:spacing w:before="0" w:beforeAutospacing="0" w:after="0" w:afterAutospacing="0" w:line="520" w:lineRule="exact"/>
        <w:ind w:firstLine="640" w:firstLineChars="200"/>
        <w:rPr>
          <w:rFonts w:hint="eastAsia" w:ascii="仿宋_GB2312" w:hAnsi="仿宋_GB2312" w:eastAsia="仿宋_GB2312" w:cs="仿宋_GB2312"/>
          <w:sz w:val="32"/>
          <w:szCs w:val="32"/>
        </w:rPr>
      </w:pPr>
    </w:p>
    <w:p>
      <w:pPr>
        <w:pStyle w:val="5"/>
        <w:spacing w:before="0" w:beforeAutospacing="0" w:after="0" w:afterAutospacing="0" w:line="52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工作地点</w:t>
      </w:r>
    </w:p>
    <w:p>
      <w:pPr>
        <w:pStyle w:val="5"/>
        <w:spacing w:before="0" w:beforeAutospacing="0" w:after="0" w:afterAutospacing="0"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主要在工程项目所在地。</w:t>
      </w:r>
    </w:p>
    <w:p>
      <w:pPr>
        <w:pStyle w:val="5"/>
        <w:spacing w:before="0" w:beforeAutospacing="0" w:after="0" w:afterAutospacing="0"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国外项目：主要分布在中东、东南亚地区、俄罗斯。</w:t>
      </w:r>
    </w:p>
    <w:p>
      <w:pPr>
        <w:pStyle w:val="5"/>
        <w:spacing w:before="0" w:beforeAutospacing="0" w:after="0" w:afterAutospacing="0"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国内项目：主要分布在天津、北京、河北、山东、辽宁、海南、广东、广西、江苏、上海、湖南、湖北、宁夏、内蒙古等省市自治区。</w:t>
      </w:r>
    </w:p>
    <w:p>
      <w:pPr>
        <w:pStyle w:val="5"/>
        <w:spacing w:before="0" w:beforeAutospacing="0" w:after="0" w:afterAutospacing="0" w:line="50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pStyle w:val="5"/>
        <w:spacing w:before="0" w:beforeAutospacing="0" w:after="0" w:afterAutospacing="0" w:line="500" w:lineRule="exact"/>
        <w:jc w:val="center"/>
        <w:rPr>
          <w:rFonts w:hint="eastAsia" w:ascii="仿宋_GB2312" w:hAnsi="仿宋_GB2312" w:eastAsia="仿宋_GB2312" w:cs="仿宋_GB2312"/>
          <w:b/>
          <w:color w:val="000000" w:themeColor="text1"/>
          <w:sz w:val="36"/>
          <w:szCs w:val="36"/>
          <w:lang w:val="en-US" w:eastAsia="zh-CN"/>
          <w14:textFill>
            <w14:solidFill>
              <w14:schemeClr w14:val="tx1"/>
            </w14:solidFill>
          </w14:textFill>
        </w:rPr>
      </w:pPr>
    </w:p>
    <w:p>
      <w:pPr>
        <w:pStyle w:val="5"/>
        <w:spacing w:before="0" w:beforeAutospacing="0" w:after="0" w:afterAutospacing="0" w:line="500" w:lineRule="exact"/>
        <w:jc w:val="center"/>
        <w:rPr>
          <w:rFonts w:hint="eastAsia" w:ascii="仿宋_GB2312" w:hAnsi="仿宋_GB2312" w:eastAsia="仿宋_GB2312" w:cs="仿宋_GB2312"/>
          <w:b/>
          <w:color w:val="000000" w:themeColor="text1"/>
          <w:sz w:val="36"/>
          <w:szCs w:val="36"/>
          <w:lang w:eastAsia="zh-CN"/>
          <w14:textFill>
            <w14:solidFill>
              <w14:schemeClr w14:val="tx1"/>
            </w14:solidFill>
          </w14:textFill>
        </w:rPr>
      </w:pPr>
      <w:r>
        <w:rPr>
          <w:rFonts w:hint="eastAsia" w:ascii="仿宋_GB2312" w:hAnsi="仿宋_GB2312" w:eastAsia="仿宋_GB2312" w:cs="仿宋_GB2312"/>
          <w:b/>
          <w:color w:val="000000" w:themeColor="text1"/>
          <w:sz w:val="36"/>
          <w:szCs w:val="36"/>
          <w:lang w:val="en-US" w:eastAsia="zh-CN"/>
          <w14:textFill>
            <w14:solidFill>
              <w14:schemeClr w14:val="tx1"/>
            </w14:solidFill>
          </w14:textFill>
        </w:rPr>
        <w:t>2024年毕业生</w:t>
      </w:r>
      <w:r>
        <w:rPr>
          <w:rFonts w:hint="eastAsia" w:ascii="仿宋_GB2312" w:hAnsi="仿宋_GB2312" w:eastAsia="仿宋_GB2312" w:cs="仿宋_GB2312"/>
          <w:b/>
          <w:color w:val="000000" w:themeColor="text1"/>
          <w:sz w:val="36"/>
          <w:szCs w:val="36"/>
          <w14:textFill>
            <w14:solidFill>
              <w14:schemeClr w14:val="tx1"/>
            </w14:solidFill>
          </w14:textFill>
        </w:rPr>
        <w:t>招聘岗位</w:t>
      </w:r>
      <w:r>
        <w:rPr>
          <w:rFonts w:hint="eastAsia" w:ascii="仿宋_GB2312" w:hAnsi="仿宋_GB2312" w:eastAsia="仿宋_GB2312" w:cs="仿宋_GB2312"/>
          <w:b/>
          <w:color w:val="000000" w:themeColor="text1"/>
          <w:sz w:val="36"/>
          <w:szCs w:val="36"/>
          <w:lang w:val="en-US" w:eastAsia="zh-CN"/>
          <w14:textFill>
            <w14:solidFill>
              <w14:schemeClr w14:val="tx1"/>
            </w14:solidFill>
          </w14:textFill>
        </w:rPr>
        <w:t>需求</w:t>
      </w:r>
      <w:r>
        <w:rPr>
          <w:rFonts w:hint="eastAsia" w:ascii="仿宋_GB2312" w:hAnsi="仿宋_GB2312" w:eastAsia="仿宋_GB2312" w:cs="仿宋_GB2312"/>
          <w:b/>
          <w:color w:val="000000" w:themeColor="text1"/>
          <w:sz w:val="36"/>
          <w:szCs w:val="36"/>
          <w:lang w:eastAsia="zh-CN"/>
          <w14:textFill>
            <w14:solidFill>
              <w14:schemeClr w14:val="tx1"/>
            </w14:solidFill>
          </w14:textFill>
        </w:rPr>
        <w:t>（</w:t>
      </w:r>
      <w:r>
        <w:rPr>
          <w:rFonts w:hint="eastAsia" w:ascii="仿宋_GB2312" w:hAnsi="仿宋_GB2312" w:eastAsia="仿宋_GB2312" w:cs="仿宋_GB2312"/>
          <w:b/>
          <w:color w:val="000000" w:themeColor="text1"/>
          <w:sz w:val="36"/>
          <w:szCs w:val="36"/>
          <w:lang w:val="en-US" w:eastAsia="zh-CN"/>
          <w14:textFill>
            <w14:solidFill>
              <w14:schemeClr w14:val="tx1"/>
            </w14:solidFill>
          </w14:textFill>
        </w:rPr>
        <w:t>岗位业务外包用工</w:t>
      </w:r>
      <w:r>
        <w:rPr>
          <w:rFonts w:hint="eastAsia" w:ascii="仿宋_GB2312" w:hAnsi="仿宋_GB2312" w:eastAsia="仿宋_GB2312" w:cs="仿宋_GB2312"/>
          <w:b/>
          <w:color w:val="000000" w:themeColor="text1"/>
          <w:sz w:val="36"/>
          <w:szCs w:val="36"/>
          <w:lang w:eastAsia="zh-CN"/>
          <w14:textFill>
            <w14:solidFill>
              <w14:schemeClr w14:val="tx1"/>
            </w14:solidFill>
          </w14:textFill>
        </w:rPr>
        <w:t>）</w:t>
      </w:r>
    </w:p>
    <w:tbl>
      <w:tblPr>
        <w:tblStyle w:val="6"/>
        <w:tblpPr w:leftFromText="180" w:rightFromText="180" w:vertAnchor="text" w:horzAnchor="page" w:tblpX="1576" w:tblpY="412"/>
        <w:tblOverlap w:val="never"/>
        <w:tblW w:w="8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6"/>
        <w:gridCol w:w="1535"/>
        <w:gridCol w:w="763"/>
        <w:gridCol w:w="785"/>
        <w:gridCol w:w="4454"/>
        <w:gridCol w:w="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2"/>
                <w:szCs w:val="22"/>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招聘</w:t>
            </w:r>
          </w:p>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人数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学历</w:t>
            </w:r>
          </w:p>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要求</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专业要求</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外语水平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工程技术岗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35</w:t>
            </w:r>
          </w:p>
        </w:tc>
        <w:tc>
          <w:tcPr>
            <w:tcW w:w="78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本科</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机械工程、机械设计制造及其自动化、机械电子工程、机械工艺技术、过程装备与控制工程、工程力学、油气储运工程、能源与动力工程、化学工程与工艺等相关专业。</w:t>
            </w:r>
          </w:p>
        </w:tc>
        <w:tc>
          <w:tcPr>
            <w:tcW w:w="8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英语四级425分及以上或相当水平。</w:t>
            </w:r>
          </w:p>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4"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焊接技术岗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c>
          <w:tcPr>
            <w:tcW w:w="78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焊接技术与工程、材料成型及控制工程、材料科学与工程、金属材料工程等相关专业。</w:t>
            </w:r>
          </w:p>
        </w:tc>
        <w:tc>
          <w:tcPr>
            <w:tcW w:w="83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9"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电气仪表技术岗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15</w:t>
            </w:r>
          </w:p>
        </w:tc>
        <w:tc>
          <w:tcPr>
            <w:tcW w:w="78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电气工程及其自动化、自动化、测控技术与仪器</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电气自动化技术。</w:t>
            </w:r>
          </w:p>
        </w:tc>
        <w:tc>
          <w:tcPr>
            <w:tcW w:w="83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8"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4</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土建技术岗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15</w:t>
            </w:r>
          </w:p>
        </w:tc>
        <w:tc>
          <w:tcPr>
            <w:tcW w:w="78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土木工程、建筑环境与设备工程、建筑电气与智能化、给水排水工程、建筑学等相关专业。</w:t>
            </w:r>
          </w:p>
        </w:tc>
        <w:tc>
          <w:tcPr>
            <w:tcW w:w="83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5</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工程造价</w:t>
            </w:r>
            <w:r>
              <w:rPr>
                <w:rFonts w:hint="eastAsia" w:ascii="宋体" w:hAnsi="宋体" w:eastAsia="宋体" w:cs="宋体"/>
                <w:i w:val="0"/>
                <w:iCs w:val="0"/>
                <w:color w:val="000000"/>
                <w:kern w:val="0"/>
                <w:sz w:val="22"/>
                <w:szCs w:val="22"/>
                <w:u w:val="none"/>
                <w:lang w:val="en-US" w:eastAsia="zh-CN" w:bidi="ar"/>
              </w:rPr>
              <w:t>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w:t>
            </w:r>
          </w:p>
        </w:tc>
        <w:tc>
          <w:tcPr>
            <w:tcW w:w="78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工程造价类专业</w:t>
            </w:r>
            <w:r>
              <w:rPr>
                <w:rFonts w:hint="eastAsia" w:ascii="宋体" w:hAnsi="宋体" w:eastAsia="宋体" w:cs="宋体"/>
                <w:i w:val="0"/>
                <w:iCs w:val="0"/>
                <w:color w:val="000000"/>
                <w:kern w:val="0"/>
                <w:sz w:val="24"/>
                <w:szCs w:val="24"/>
                <w:u w:val="none"/>
                <w:lang w:val="en-US" w:eastAsia="zh-CN" w:bidi="ar"/>
              </w:rPr>
              <w:t>。</w:t>
            </w:r>
          </w:p>
        </w:tc>
        <w:tc>
          <w:tcPr>
            <w:tcW w:w="83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施工计划</w:t>
            </w:r>
            <w:r>
              <w:rPr>
                <w:rFonts w:hint="eastAsia" w:ascii="宋体" w:hAnsi="宋体" w:eastAsia="宋体" w:cs="宋体"/>
                <w:i w:val="0"/>
                <w:iCs w:val="0"/>
                <w:color w:val="000000"/>
                <w:kern w:val="0"/>
                <w:sz w:val="22"/>
                <w:szCs w:val="22"/>
                <w:u w:val="none"/>
                <w:lang w:val="en-US" w:eastAsia="zh-CN" w:bidi="ar"/>
              </w:rPr>
              <w:t>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6</w:t>
            </w:r>
          </w:p>
        </w:tc>
        <w:tc>
          <w:tcPr>
            <w:tcW w:w="78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机械类、</w:t>
            </w:r>
            <w:r>
              <w:rPr>
                <w:rFonts w:hint="eastAsia" w:ascii="宋体" w:hAnsi="宋体" w:eastAsia="宋体" w:cs="宋体"/>
                <w:i w:val="0"/>
                <w:iCs w:val="0"/>
                <w:color w:val="000000"/>
                <w:kern w:val="0"/>
                <w:sz w:val="24"/>
                <w:szCs w:val="24"/>
                <w:u w:val="none"/>
                <w:lang w:val="en-US" w:eastAsia="zh-CN" w:bidi="ar"/>
              </w:rPr>
              <w:t>工程管理、工业工程等相关专业。</w:t>
            </w:r>
          </w:p>
        </w:tc>
        <w:tc>
          <w:tcPr>
            <w:tcW w:w="83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7</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安全工程管理岗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9</w:t>
            </w:r>
          </w:p>
        </w:tc>
        <w:tc>
          <w:tcPr>
            <w:tcW w:w="78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安全工程、环境科学与工程、环境工程、环境科学等相关专业。</w:t>
            </w:r>
          </w:p>
        </w:tc>
        <w:tc>
          <w:tcPr>
            <w:tcW w:w="83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61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8</w:t>
            </w:r>
          </w:p>
        </w:tc>
        <w:tc>
          <w:tcPr>
            <w:tcW w:w="153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物资管理岗</w:t>
            </w:r>
          </w:p>
        </w:tc>
        <w:tc>
          <w:tcPr>
            <w:tcW w:w="76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w:t>
            </w:r>
          </w:p>
        </w:tc>
        <w:tc>
          <w:tcPr>
            <w:tcW w:w="78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45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机械类、物流管理、工程管理等专业。</w:t>
            </w:r>
          </w:p>
        </w:tc>
        <w:tc>
          <w:tcPr>
            <w:tcW w:w="83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616"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9</w:t>
            </w:r>
          </w:p>
        </w:tc>
        <w:tc>
          <w:tcPr>
            <w:tcW w:w="153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人力资源管理岗</w:t>
            </w:r>
          </w:p>
        </w:tc>
        <w:tc>
          <w:tcPr>
            <w:tcW w:w="76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p>
        </w:tc>
        <w:tc>
          <w:tcPr>
            <w:tcW w:w="785"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45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人力资源管理、工商及行政管理类专业。</w:t>
            </w:r>
          </w:p>
        </w:tc>
        <w:tc>
          <w:tcPr>
            <w:tcW w:w="835"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bl>
    <w:p>
      <w:pPr>
        <w:pStyle w:val="5"/>
        <w:spacing w:before="0" w:beforeAutospacing="0" w:after="0" w:afterAutospacing="0" w:line="500" w:lineRule="exact"/>
        <w:rPr>
          <w:rFonts w:hint="eastAsia" w:ascii="仿宋_GB2312" w:hAnsi="仿宋_GB2312" w:eastAsia="仿宋_GB2312" w:cs="仿宋_GB2312"/>
          <w:b/>
          <w:color w:val="000000" w:themeColor="text1"/>
          <w:sz w:val="32"/>
          <w:szCs w:val="32"/>
          <w14:textFill>
            <w14:solidFill>
              <w14:schemeClr w14:val="tx1"/>
            </w14:solidFill>
          </w14:textFill>
        </w:rPr>
      </w:pPr>
    </w:p>
    <w:p>
      <w:pPr>
        <w:widowControl/>
        <w:spacing w:line="500" w:lineRule="exact"/>
        <w:ind w:firstLine="707" w:firstLineChars="2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地址：</w:t>
      </w:r>
      <w:r>
        <w:rPr>
          <w:rFonts w:hint="eastAsia" w:ascii="仿宋_GB2312" w:hAnsi="仿宋_GB2312" w:eastAsia="仿宋_GB2312" w:cs="仿宋_GB2312"/>
          <w:kern w:val="0"/>
          <w:sz w:val="32"/>
          <w:szCs w:val="32"/>
        </w:rPr>
        <w:t>天津市滨海新区大港世纪大道1</w:t>
      </w:r>
      <w:r>
        <w:rPr>
          <w:rFonts w:hint="eastAsia" w:ascii="仿宋_GB2312" w:hAnsi="仿宋_GB2312" w:eastAsia="仿宋_GB2312" w:cs="仿宋_GB2312"/>
          <w:kern w:val="0"/>
          <w:sz w:val="32"/>
          <w:szCs w:val="32"/>
          <w:lang w:val="en-US" w:eastAsia="zh-CN"/>
        </w:rPr>
        <w:t>80</w:t>
      </w:r>
      <w:r>
        <w:rPr>
          <w:rFonts w:hint="eastAsia" w:ascii="仿宋_GB2312" w:hAnsi="仿宋_GB2312" w:eastAsia="仿宋_GB2312" w:cs="仿宋_GB2312"/>
          <w:kern w:val="0"/>
          <w:sz w:val="32"/>
          <w:szCs w:val="32"/>
        </w:rPr>
        <w:t>号</w:t>
      </w:r>
    </w:p>
    <w:p>
      <w:pPr>
        <w:widowControl/>
        <w:spacing w:line="500" w:lineRule="exact"/>
        <w:ind w:firstLine="707" w:firstLineChars="2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联系人：</w:t>
      </w:r>
      <w:r>
        <w:rPr>
          <w:rFonts w:hint="eastAsia" w:ascii="仿宋_GB2312" w:hAnsi="仿宋_GB2312" w:eastAsia="仿宋_GB2312" w:cs="仿宋_GB2312"/>
          <w:kern w:val="0"/>
          <w:sz w:val="32"/>
          <w:szCs w:val="32"/>
          <w:lang w:val="en-US" w:eastAsia="zh-CN"/>
        </w:rPr>
        <w:t>刘老师  王老师</w:t>
      </w:r>
      <w:r>
        <w:rPr>
          <w:rFonts w:hint="eastAsia" w:ascii="仿宋_GB2312" w:hAnsi="仿宋_GB2312" w:eastAsia="仿宋_GB2312" w:cs="仿宋_GB2312"/>
          <w:kern w:val="0"/>
          <w:sz w:val="32"/>
          <w:szCs w:val="32"/>
        </w:rPr>
        <w:t xml:space="preserve"> </w:t>
      </w:r>
    </w:p>
    <w:p>
      <w:pPr>
        <w:widowControl/>
        <w:spacing w:line="500" w:lineRule="exact"/>
        <w:ind w:firstLine="707" w:firstLineChars="22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rPr>
        <w:t>电话：</w:t>
      </w:r>
      <w:r>
        <w:rPr>
          <w:rFonts w:hint="eastAsia" w:ascii="仿宋_GB2312" w:hAnsi="仿宋_GB2312" w:eastAsia="仿宋_GB2312" w:cs="仿宋_GB2312"/>
          <w:kern w:val="0"/>
          <w:sz w:val="32"/>
          <w:szCs w:val="32"/>
        </w:rPr>
        <w:t>022-6386</w:t>
      </w:r>
      <w:r>
        <w:rPr>
          <w:rFonts w:hint="eastAsia" w:ascii="仿宋_GB2312" w:hAnsi="仿宋_GB2312" w:eastAsia="仿宋_GB2312" w:cs="仿宋_GB2312"/>
          <w:kern w:val="0"/>
          <w:sz w:val="32"/>
          <w:szCs w:val="32"/>
          <w:lang w:val="en-US" w:eastAsia="zh-CN"/>
        </w:rPr>
        <w:t>3690</w:t>
      </w:r>
      <w:bookmarkStart w:id="0" w:name="_GoBack"/>
      <w:bookmarkEnd w:id="0"/>
      <w:r>
        <w:rPr>
          <w:rFonts w:hint="eastAsia" w:ascii="仿宋_GB2312" w:hAnsi="仿宋_GB2312" w:eastAsia="仿宋_GB2312" w:cs="仿宋_GB2312"/>
          <w:kern w:val="0"/>
          <w:sz w:val="32"/>
          <w:szCs w:val="32"/>
          <w:lang w:val="en-US" w:eastAsia="zh-CN"/>
        </w:rPr>
        <w:t xml:space="preserve"> 022-63862956</w:t>
      </w:r>
    </w:p>
    <w:p>
      <w:pPr>
        <w:widowControl/>
        <w:spacing w:line="500" w:lineRule="exact"/>
        <w:ind w:firstLine="707" w:firstLineChars="2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邮箱：</w:t>
      </w:r>
      <w:r>
        <w:rPr>
          <w:rFonts w:hint="eastAsia" w:ascii="仿宋_GB2312" w:hAnsi="仿宋_GB2312" w:eastAsia="仿宋_GB2312" w:cs="仿宋_GB2312"/>
          <w:kern w:val="0"/>
          <w:sz w:val="32"/>
          <w:szCs w:val="32"/>
          <w:lang w:val="en-US" w:eastAsia="zh-CN"/>
        </w:rPr>
        <w:t>fcc180hr</w:t>
      </w:r>
      <w:r>
        <w:rPr>
          <w:rFonts w:hint="eastAsia" w:ascii="仿宋_GB2312" w:hAnsi="仿宋_GB2312" w:eastAsia="仿宋_GB2312" w:cs="仿宋_GB2312"/>
          <w:kern w:val="0"/>
          <w:sz w:val="32"/>
          <w:szCs w:val="32"/>
        </w:rPr>
        <w:t>@126.com</w:t>
      </w:r>
    </w:p>
    <w:p>
      <w:pPr>
        <w:pStyle w:val="5"/>
        <w:spacing w:before="0" w:beforeAutospacing="0" w:after="0" w:afterAutospacing="0" w:line="500" w:lineRule="exact"/>
        <w:rPr>
          <w:rFonts w:hint="eastAsia" w:ascii="仿宋_GB2312" w:hAnsi="仿宋_GB2312" w:eastAsia="仿宋_GB2312" w:cs="仿宋_GB2312"/>
          <w:color w:val="000000" w:themeColor="text1"/>
          <w:sz w:val="32"/>
          <w:szCs w:val="32"/>
          <w14:textFill>
            <w14:solidFill>
              <w14:schemeClr w14:val="tx1"/>
            </w14:solidFill>
          </w14:textFill>
        </w:rPr>
      </w:pPr>
    </w:p>
    <w:p>
      <w:pPr>
        <w:pStyle w:val="5"/>
        <w:spacing w:before="0" w:beforeAutospacing="0" w:after="0" w:afterAutospacing="0"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公司诚邀莘莘学子加盟共同秉承为美好生活加油的中国石化企业理念，共创公司崭新的未来！</w:t>
      </w:r>
    </w:p>
    <w:p/>
    <w:sectPr>
      <w:pgSz w:w="11906" w:h="16838"/>
      <w:pgMar w:top="1135" w:right="1800" w:bottom="567"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ZDkyNzIyODc2YzhkZWJkNzJmMTk5Y2JlYTRlYjMifQ=="/>
  </w:docVars>
  <w:rsids>
    <w:rsidRoot w:val="00E34C19"/>
    <w:rsid w:val="00047CD7"/>
    <w:rsid w:val="00061BEC"/>
    <w:rsid w:val="000778E7"/>
    <w:rsid w:val="00081AE7"/>
    <w:rsid w:val="000A2B98"/>
    <w:rsid w:val="001005B7"/>
    <w:rsid w:val="001678B9"/>
    <w:rsid w:val="001C7251"/>
    <w:rsid w:val="001D1915"/>
    <w:rsid w:val="001F07D5"/>
    <w:rsid w:val="00266583"/>
    <w:rsid w:val="002726B5"/>
    <w:rsid w:val="002D04E6"/>
    <w:rsid w:val="00342E4C"/>
    <w:rsid w:val="0036396D"/>
    <w:rsid w:val="0039197B"/>
    <w:rsid w:val="003A7DFB"/>
    <w:rsid w:val="003C0966"/>
    <w:rsid w:val="003C0A94"/>
    <w:rsid w:val="003D790C"/>
    <w:rsid w:val="00412B07"/>
    <w:rsid w:val="00447648"/>
    <w:rsid w:val="00481BAB"/>
    <w:rsid w:val="004B3966"/>
    <w:rsid w:val="00522CD3"/>
    <w:rsid w:val="005B55E4"/>
    <w:rsid w:val="006906AF"/>
    <w:rsid w:val="00697F6F"/>
    <w:rsid w:val="006D5ABD"/>
    <w:rsid w:val="007022A9"/>
    <w:rsid w:val="007365B3"/>
    <w:rsid w:val="00744F6B"/>
    <w:rsid w:val="00752DFC"/>
    <w:rsid w:val="00760B86"/>
    <w:rsid w:val="007722CA"/>
    <w:rsid w:val="007A3029"/>
    <w:rsid w:val="007D6F3D"/>
    <w:rsid w:val="007E6D99"/>
    <w:rsid w:val="007F2C70"/>
    <w:rsid w:val="008035CF"/>
    <w:rsid w:val="00833067"/>
    <w:rsid w:val="00857514"/>
    <w:rsid w:val="008765FF"/>
    <w:rsid w:val="008E4B39"/>
    <w:rsid w:val="009218EC"/>
    <w:rsid w:val="009618C8"/>
    <w:rsid w:val="009740EB"/>
    <w:rsid w:val="009970BC"/>
    <w:rsid w:val="009A3524"/>
    <w:rsid w:val="009A5023"/>
    <w:rsid w:val="009C066C"/>
    <w:rsid w:val="009C28D8"/>
    <w:rsid w:val="009E58CE"/>
    <w:rsid w:val="00A64152"/>
    <w:rsid w:val="00A76096"/>
    <w:rsid w:val="00A76948"/>
    <w:rsid w:val="00AE23F6"/>
    <w:rsid w:val="00AF381D"/>
    <w:rsid w:val="00AF3887"/>
    <w:rsid w:val="00AF3DD1"/>
    <w:rsid w:val="00AF52CA"/>
    <w:rsid w:val="00B066F3"/>
    <w:rsid w:val="00B23103"/>
    <w:rsid w:val="00B26B67"/>
    <w:rsid w:val="00B57329"/>
    <w:rsid w:val="00B62395"/>
    <w:rsid w:val="00BA7B14"/>
    <w:rsid w:val="00C375A5"/>
    <w:rsid w:val="00C6237F"/>
    <w:rsid w:val="00C80F75"/>
    <w:rsid w:val="00CA7678"/>
    <w:rsid w:val="00CB50CA"/>
    <w:rsid w:val="00CC2200"/>
    <w:rsid w:val="00CF1A5A"/>
    <w:rsid w:val="00CF60A7"/>
    <w:rsid w:val="00D144F2"/>
    <w:rsid w:val="00D43E05"/>
    <w:rsid w:val="00DA51C9"/>
    <w:rsid w:val="00DB4796"/>
    <w:rsid w:val="00DE38CA"/>
    <w:rsid w:val="00E001CE"/>
    <w:rsid w:val="00E12179"/>
    <w:rsid w:val="00E34C19"/>
    <w:rsid w:val="00E41DEA"/>
    <w:rsid w:val="00E530DC"/>
    <w:rsid w:val="00E827AF"/>
    <w:rsid w:val="00EC3B01"/>
    <w:rsid w:val="00ED1E1A"/>
    <w:rsid w:val="00FB17E3"/>
    <w:rsid w:val="00FB31AC"/>
    <w:rsid w:val="00FC7284"/>
    <w:rsid w:val="00FE366F"/>
    <w:rsid w:val="00FF73AE"/>
    <w:rsid w:val="22B416FC"/>
    <w:rsid w:val="251904C5"/>
    <w:rsid w:val="256B10EF"/>
    <w:rsid w:val="2EE1190B"/>
    <w:rsid w:val="332A6FF3"/>
    <w:rsid w:val="3D900D1C"/>
    <w:rsid w:val="43AB4723"/>
    <w:rsid w:val="50BA660B"/>
    <w:rsid w:val="5BAB3112"/>
    <w:rsid w:val="5C23104F"/>
    <w:rsid w:val="5EE61310"/>
    <w:rsid w:val="604E4629"/>
    <w:rsid w:val="60AA4F0E"/>
    <w:rsid w:val="6DD00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3"/>
    <w:autoRedefine/>
    <w:semiHidden/>
    <w:unhideWhenUsed/>
    <w:qFormat/>
    <w:uiPriority w:val="99"/>
    <w:rPr>
      <w:sz w:val="18"/>
      <w:szCs w:val="18"/>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4"/>
    <w:autoRedefine/>
    <w:qFormat/>
    <w:uiPriority w:val="99"/>
    <w:rPr>
      <w:rFonts w:ascii="Times New Roman" w:hAnsi="Times New Roman" w:eastAsia="宋体" w:cs="Times New Roman"/>
      <w:sz w:val="18"/>
      <w:szCs w:val="18"/>
    </w:rPr>
  </w:style>
  <w:style w:type="character" w:customStyle="1" w:styleId="11">
    <w:name w:val="页脚 Char"/>
    <w:basedOn w:val="8"/>
    <w:link w:val="3"/>
    <w:autoRedefine/>
    <w:qFormat/>
    <w:uiPriority w:val="99"/>
    <w:rPr>
      <w:rFonts w:ascii="Times New Roman" w:hAnsi="Times New Roman" w:eastAsia="宋体" w:cs="Times New Roman"/>
      <w:sz w:val="18"/>
      <w:szCs w:val="18"/>
    </w:rPr>
  </w:style>
  <w:style w:type="paragraph" w:styleId="12">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13">
    <w:name w:val="批注框文本 Char"/>
    <w:basedOn w:val="8"/>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Company>
  <Pages>5</Pages>
  <Words>2092</Words>
  <Characters>2187</Characters>
  <Lines>16</Lines>
  <Paragraphs>4</Paragraphs>
  <TotalTime>120</TotalTime>
  <ScaleCrop>false</ScaleCrop>
  <LinksUpToDate>false</LinksUpToDate>
  <CharactersWithSpaces>2191</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2012-12-11T05:53:00Z</dcterms:created>
  <dc:creator>庄天成</dc:creator>
  <cp:lastModifiedBy>王钦</cp:lastModifiedBy>
  <cp:lastPrinted>2019-10-31T03:43:00Z</cp:lastPrinted>
  <dcterms:modified xsi:type="dcterms:W3CDTF">2024-03-04T03:44:40Z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A7C3E025BB62403991B527FD009A83B2_13</vt:lpwstr>
  </property>
</Properties>
</file>